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2" w:space="1" w:color="000000"/>
          <w:left w:val="single" w:sz="2" w:space="1" w:color="000000"/>
          <w:bottom w:val="single" w:sz="2" w:space="1" w:color="000000"/>
          <w:right w:val="single" w:sz="2" w:space="1" w:color="000000"/>
        </w:pBdr>
        <w:jc w:val="center"/>
        <w:rPr>
          <w:rFonts w:ascii="Calibri" w:hAnsi="Calibri" w:cs="Tahoma"/>
          <w:b/>
          <w:b/>
          <w:bCs/>
          <w:sz w:val="28"/>
          <w:szCs w:val="28"/>
          <w:u w:val="single"/>
        </w:rPr>
      </w:pPr>
      <w:r>
        <w:rPr>
          <w:rFonts w:cs="Tahoma" w:ascii="Calibri" w:hAnsi="Calibri"/>
          <w:b/>
          <w:bCs/>
          <w:sz w:val="28"/>
          <w:szCs w:val="28"/>
          <w:u w:val="single"/>
        </w:rPr>
        <w:t xml:space="preserve">Séance </w:t>
      </w:r>
      <w:r>
        <w:rPr>
          <w:rFonts w:cs="Tahoma" w:ascii="Calibri" w:hAnsi="Calibri"/>
          <w:b/>
          <w:bCs/>
          <w:sz w:val="28"/>
          <w:szCs w:val="28"/>
          <w:u w:val="single"/>
        </w:rPr>
        <w:t xml:space="preserve">du Conseil Communal </w:t>
      </w:r>
      <w:r>
        <w:rPr>
          <w:rFonts w:cs="Tahoma" w:ascii="Calibri" w:hAnsi="Calibri"/>
          <w:b/>
          <w:bCs/>
          <w:sz w:val="28"/>
          <w:szCs w:val="28"/>
          <w:u w:val="single"/>
        </w:rPr>
        <w:t>du 02 avril 2026 (19:30)</w:t>
      </w:r>
    </w:p>
    <w:p>
      <w:pPr>
        <w:pStyle w:val="Normal"/>
        <w:rPr>
          <w:rFonts w:ascii="Calibri" w:hAnsi="Calibri" w:cs="Tahoma"/>
          <w:sz w:val="20"/>
          <w:szCs w:val="20"/>
        </w:rPr>
      </w:pPr>
      <w:r>
        <w:rPr>
          <w:rFonts w:cs="Tahoma" w:ascii="Calibri" w:hAnsi="Calibri"/>
          <w:sz w:val="20"/>
          <w:szCs w:val="20"/>
        </w:rPr>
      </w:r>
    </w:p>
    <w:p>
      <w:pPr>
        <w:pStyle w:val="Normal"/>
        <w:jc w:val="both"/>
        <w:rPr>
          <w:rFonts w:ascii="Calibri" w:hAnsi="Calibri"/>
          <w:caps/>
          <w:u w:val="single"/>
        </w:rPr>
      </w:pPr>
      <w:r>
        <w:rPr>
          <w:rFonts w:ascii="Calibri" w:hAnsi="Calibri"/>
          <w:b/>
          <w:bCs/>
          <w:caps/>
          <w:u w:val="single"/>
        </w:rPr>
        <w:t xml:space="preserve">Composition de l’assemblée </w:t>
      </w:r>
      <w:r>
        <w:rPr>
          <w:rFonts w:ascii="Calibri" w:hAnsi="Calibri"/>
          <w:b/>
          <w:bCs/>
          <w:caps/>
          <w:u w:val="single"/>
        </w:rPr>
        <w:t>:</w:t>
      </w:r>
    </w:p>
    <w:p>
      <w:pPr>
        <w:pStyle w:val="Normal"/>
        <w:jc w:val="both"/>
        <w:rPr>
          <w:rFonts w:ascii="Calibri" w:hAnsi="Calibri"/>
          <w:b/>
          <w:b/>
          <w:bCs/>
          <w:caps/>
          <w:u w:val="single"/>
        </w:rPr>
      </w:pPr>
      <w:r>
        <w:rPr>
          <w:rFonts w:ascii="Calibri" w:hAnsi="Calibri"/>
          <w:b/>
          <w:bCs/>
          <w:caps/>
          <w:u w:val="single"/>
        </w:rPr>
      </w:r>
    </w:p>
    <w:p>
      <w:pPr>
        <w:pStyle w:val="Normal"/>
        <w:tabs>
          <w:tab w:val="clear" w:pos="709"/>
        </w:tabs>
        <w:spacing w:before="0" w:after="0"/>
        <w:jc w:val="both"/>
        <w:rPr>
          <w:rFonts w:ascii="Calibri" w:hAnsi="Calibri"/>
          <w:b w:val="false"/>
          <w:b w:val="false"/>
          <w:bCs w:val="false"/>
          <w:u w:val="single"/>
        </w:rPr>
      </w:pPr>
      <w:r>
        <w:rPr>
          <w:rFonts w:ascii="Calibri" w:hAnsi="Calibri"/>
          <w:b w:val="false"/>
          <w:bCs w:val="false"/>
          <w:u w:val="single"/>
        </w:rPr>
        <w:t>PRESENTS :</w:t>
      </w:r>
    </w:p>
    <w:p>
      <w:pPr>
        <w:pStyle w:val="MltAssembly"/>
        <w:rPr/>
      </w:pPr>
      <w:r>
        <w:rPr/>
        <w:t>Monsieur J-P. BOURDEAUD'HUY, Bourgmestre - Président;</w:t>
        <w:br/>
        <w:t>Madame Ch. VERSCHUERE, Monsieur D. DETEMMERMAN, Madame M-F BOUDRY, Échevins;</w:t>
        <w:br/>
        <w:t>Madame V. GUEMJOM, Madame V. WEYTSMAN, Madame J. DEBRABANDERE, Madame M-R MAES, Monsieur M. VANHONACKER, Monsieur S. MORJEAN, Monsieur Ph. PHALEMPIN, Madame F. HERNOULD, Conseillers;</w:t>
        <w:br/>
        <w:t>Madame A. BAUSIER, Directrice générale;</w:t>
      </w:r>
    </w:p>
    <w:p>
      <w:pPr>
        <w:pStyle w:val="Normal"/>
        <w:tabs>
          <w:tab w:val="clear" w:pos="709"/>
        </w:tabs>
        <w:spacing w:before="0" w:after="0"/>
        <w:jc w:val="both"/>
        <w:rPr>
          <w:rFonts w:ascii="Calibri" w:hAnsi="Calibri"/>
          <w:u w:val="single"/>
        </w:rPr>
      </w:pPr>
      <w:r>
        <w:rPr>
          <w:rFonts w:ascii="Calibri" w:hAnsi="Calibri"/>
          <w:u w:val="single"/>
        </w:rPr>
        <w:t>EXCUSES :</w:t>
      </w:r>
    </w:p>
    <w:p>
      <w:pPr>
        <w:pStyle w:val="MltAssembly"/>
        <w:rPr/>
      </w:pPr>
      <w:r>
        <w:rPr/>
        <w:t>Monsieur E. DE FRENE, Conseiller;</w:t>
        <w:br/>
        <w:t>Monsieur Ph. D'HONDT, Président du CPAS - siégeant avec voix consultative;</w:t>
      </w:r>
    </w:p>
    <w:p>
      <w:pPr>
        <w:pStyle w:val="Normal"/>
        <w:tabs>
          <w:tab w:val="clear" w:pos="709"/>
        </w:tabs>
        <w:spacing w:before="0" w:after="0"/>
        <w:jc w:val="both"/>
        <w:rPr>
          <w:rFonts w:ascii="Calibri" w:hAnsi="Calibri"/>
        </w:rPr>
      </w:pPr>
      <w:r>
        <w:rPr>
          <w:rFonts w:ascii="Calibri" w:hAnsi="Calibri"/>
        </w:rPr>
      </w:r>
    </w:p>
    <w:p>
      <w:pPr>
        <w:pStyle w:val="Normal"/>
        <w:jc w:val="both"/>
        <w:rPr>
          <w:rFonts w:ascii="Calibri" w:hAnsi="Calibri"/>
          <w:b/>
          <w:b/>
          <w:bCs/>
          <w:u w:val="single"/>
        </w:rPr>
      </w:pPr>
      <w:r>
        <w:rPr>
          <w:rFonts w:ascii="Calibri" w:hAnsi="Calibri"/>
          <w:b/>
          <w:bCs/>
          <w:u w:val="single"/>
        </w:rPr>
        <w:t>SEANCE PUBLIQUE</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 : Procès-verbal séance précédente ; approbation</w:t>
      </w:r>
    </w:p>
    <w:p>
      <w:pPr>
        <w:pStyle w:val="Normal"/>
        <w:tabs>
          <w:tab w:val="clear" w:pos="709"/>
        </w:tabs>
        <w:spacing w:before="0" w:after="0"/>
        <w:jc w:val="both"/>
        <w:rPr>
          <w:rFonts w:ascii="Calibri" w:hAnsi="Calibri"/>
        </w:rPr>
      </w:pPr>
      <w:r>
        <w:rPr>
          <w:rFonts w:ascii="Calibri" w:hAnsi="Calibri"/>
        </w:rPr>
      </w:r>
    </w:p>
    <w:p>
      <w:pPr>
        <w:pStyle w:val="Normal"/>
        <w:rPr/>
      </w:pPr>
      <w:r>
        <w:rPr>
          <w:rStyle w:val="Bnr1pod"/>
        </w:rPr>
        <w:t>Mme Maes </w:t>
      </w:r>
    </w:p>
    <w:p>
      <w:pPr>
        <w:pStyle w:val="Normal"/>
        <w:rPr/>
      </w:pPr>
      <w:r>
        <w:rPr/>
        <w:t>En début de PV, il y'a une phrase incomplète à terminer. Concernant le point relatif au parking, je demande que ma justification de vote soit ajoutée au procès-verbal : j’ai voté contre car je considère cet investissement inutile. Actuellement, le procès-verbal mentionne le vote mais pas ma justification.</w:t>
      </w:r>
    </w:p>
    <w:p>
      <w:pPr>
        <w:pStyle w:val="Normal"/>
        <w:rPr/>
      </w:pPr>
      <w:r>
        <w:rPr>
          <w:rStyle w:val="Bnr1pod"/>
        </w:rPr>
        <w:t>Mr Le Bourgmestre</w:t>
      </w:r>
    </w:p>
    <w:p>
      <w:pPr>
        <w:pStyle w:val="Normal"/>
        <w:rPr/>
      </w:pPr>
      <w:r>
        <w:rPr/>
        <w:t>Ok, ça va, on va rajouter, il n'y a pas de problème.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DECIDE : par 8 voix POUR et 4 voix CONTRE (Mme Guemjom, Mme Maes, Mr Vanhonacker, Mme Hernould)</w:t>
      </w:r>
    </w:p>
    <w:p>
      <w:pPr>
        <w:pStyle w:val="Normal"/>
        <w:rPr/>
      </w:pPr>
      <w:r>
        <w:rPr/>
        <w:t>D'approuver le procès-verbal de la séance du 03/03/2026.</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N°2 : Informations</w:t>
      </w:r>
    </w:p>
    <w:p>
      <w:pPr>
        <w:pStyle w:val="Normal"/>
        <w:tabs>
          <w:tab w:val="clear" w:pos="709"/>
        </w:tabs>
        <w:spacing w:before="0" w:after="0"/>
        <w:jc w:val="both"/>
        <w:rPr>
          <w:rFonts w:ascii="Calibri" w:hAnsi="Calibri"/>
        </w:rPr>
      </w:pPr>
      <w:r>
        <w:rPr>
          <w:rFonts w:ascii="Calibri" w:hAnsi="Calibri"/>
        </w:rPr>
      </w:r>
    </w:p>
    <w:p>
      <w:pPr>
        <w:pStyle w:val="Normal"/>
        <w:rPr/>
      </w:pPr>
      <w:r>
        <w:rPr>
          <w:rStyle w:val="Bnr1pod"/>
        </w:rPr>
        <w:t>Mme Hernould</w:t>
      </w:r>
    </w:p>
    <w:p>
      <w:pPr>
        <w:pStyle w:val="Normal"/>
        <w:rPr/>
      </w:pPr>
      <w:r>
        <w:rPr/>
        <w:t>Je tiens à rappeler que, lors de la convocation précédente, nous avions été informés bien après les citoyens.</w:t>
      </w:r>
    </w:p>
    <w:p>
      <w:pPr>
        <w:pStyle w:val="Normal"/>
        <w:rPr/>
      </w:pPr>
      <w:r>
        <w:rPr>
          <w:rStyle w:val="Bnr1pod"/>
        </w:rPr>
        <w:t xml:space="preserve">Mr le Bourgmestre </w:t>
      </w:r>
    </w:p>
    <w:p>
      <w:pPr>
        <w:pStyle w:val="Normal"/>
        <w:rPr/>
      </w:pPr>
      <w:r>
        <w:rPr/>
        <w:t>Non, ce n'est pas le cas. J'ai ici la preuve.</w:t>
      </w:r>
    </w:p>
    <w:p>
      <w:pPr>
        <w:pStyle w:val="Normal"/>
        <w:rPr/>
      </w:pPr>
      <w:r>
        <w:rPr>
          <w:rStyle w:val="Bnr1pod"/>
        </w:rPr>
        <w:t>Mme Hernould</w:t>
      </w:r>
      <w:r>
        <w:rPr/>
        <w:t xml:space="preserve">  </w:t>
      </w:r>
    </w:p>
    <w:p>
      <w:pPr>
        <w:pStyle w:val="Normal"/>
        <w:rPr/>
      </w:pPr>
      <w:r>
        <w:rPr/>
        <w:t>Aujourd’hui, les choses sont faites dans les temps, et il n’est donc plus nécessaire de revenir sur ce point.</w:t>
      </w:r>
    </w:p>
    <w:p>
      <w:pPr>
        <w:pStyle w:val="Normal"/>
        <w:rPr/>
      </w:pPr>
      <w:r>
        <w:rPr/>
        <w:t>Je souhaite néanmoins préciser que, lors du dernier conseil, vous aviez indiqué qu’il était normal que Renaix prenne en charge le marquage, étant donné qu’une bonne partie de la route lui appartient. Cependant, je voudrais souligner que la rue du Lait Battu se situe sur le territoire de Russeignies. Il s’agit donc d’une responsabilité partagée, à parts égales, tant en termes de territoire que de gestion.</w:t>
      </w:r>
    </w:p>
    <w:p>
      <w:pPr>
        <w:pStyle w:val="Normal"/>
        <w:rPr/>
      </w:pPr>
      <w:r>
        <w:rPr/>
        <w:t>J’ai été interpellé par plusieurs citoyens qui m’ont demandé s’il serait possible de réparer le petit escalier donnant accès au cimetière de Russeignies.Celui-ci est en effet plus facile à emprunter, notamment pour les personnes à mobilité réduite, et sa remise en état faciliterait leur accès.</w:t>
      </w:r>
    </w:p>
    <w:p>
      <w:pPr>
        <w:pStyle w:val="Normal"/>
        <w:rPr/>
      </w:pPr>
      <w:r>
        <w:rPr>
          <w:rStyle w:val="Bnr1pod"/>
        </w:rPr>
        <w:t>Mr le Bourgmestre</w:t>
      </w:r>
    </w:p>
    <w:p>
      <w:pPr>
        <w:pStyle w:val="Normal"/>
        <w:rPr/>
      </w:pPr>
      <w:r>
        <w:rPr/>
        <w:t>Oui, c'est prévu dans les travaux. Un projet est également à l’étude pour créer un accès adapté aux personnes handicapées, actuellement inexistant, notamment via un nouvel accès à l’arrière, de créer un chemin, une ouverture pour pouvoir permettre aux personnes handicapées de pouvoir y accéder.</w:t>
      </w:r>
    </w:p>
    <w:p>
      <w:pPr>
        <w:pStyle w:val="Normal"/>
        <w:rPr/>
      </w:pPr>
      <w:r>
        <w:rPr>
          <w:rStyle w:val="Bnr1pod"/>
        </w:rPr>
        <w:t xml:space="preserve">Mme Maes </w:t>
      </w:r>
    </w:p>
    <w:p>
      <w:pPr>
        <w:pStyle w:val="Normal"/>
        <w:rPr/>
      </w:pPr>
      <w:r>
        <w:rPr/>
        <w:t>Avez-vous des nouvelles concernant le courrier envoyé à l’Évêché ?</w:t>
      </w:r>
    </w:p>
    <w:p>
      <w:pPr>
        <w:pStyle w:val="Normal"/>
        <w:rPr/>
      </w:pPr>
      <w:r>
        <w:rPr>
          <w:rStyle w:val="Bnr1pod"/>
        </w:rPr>
        <w:t>Mr le Bourgmestre</w:t>
      </w:r>
    </w:p>
    <w:p>
      <w:pPr>
        <w:pStyle w:val="Normal"/>
        <w:rPr/>
      </w:pPr>
      <w:r>
        <w:rPr/>
        <w:t>Une réunion a eu lieu récemment. Un problème a été confirmé au niveau de la gestion (fabrique d’église), notamment l’absence de budget depuis deux ans. La commune a indiqué qu’elle pourrait refuser certaines dépenses si elle n’est pas informée à l’avance. Une réunion entre les différentes fabriques d’église sera organisée pour trouver des solutions. La question d’une éventuelle fusion a été évoquée, sans prise de position de la commune, mais nous avons rappelé que fonctionner sans budget depuis deux ans est inadmissible.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Monsieur le Président communique les informations relatives aux modalités de transmission des ordres du jour aux conseillers communaux ainsi qu’au public.</w:t>
      </w:r>
    </w:p>
    <w:p>
      <w:pPr>
        <w:pStyle w:val="Normal"/>
        <w:rPr/>
      </w:pPr>
      <w:r>
        <w:rPr/>
        <w:t>À la suite de l’interpellation de Madame Hernould lors de la dernière séance du Conseil communal, Monsieur le Président précise que les services communaux procèdent à la diffusion simultanée de l’ordre du jour, tant auprès des conseillers communaux que du public, notamment via la page Facebook officielle. En effet, les deux communications ont eu lieu très précisement le 20 février à 12h58.</w:t>
      </w:r>
    </w:p>
    <w:p>
      <w:pPr>
        <w:pStyle w:val="Normal"/>
        <w:rPr/>
      </w:pPr>
      <w:r>
        <w:rPr/>
        <w:t>Il est ainsi établi qu’aucune distinction n’est opérée entre les conseillers communaux et la population en ce qui concerne l’accès à l’ordre du jour et le droit d’en prendre connaissance.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N°3 : 85e.Edition du circuit franco-belge - Convention relative à l'organisation et à l'octroi d'une subvention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et notamment l'article L1122-30 et L3331-1 à L3331-8 ;</w:t>
      </w:r>
    </w:p>
    <w:p>
      <w:pPr>
        <w:pStyle w:val="Normal"/>
        <w:rPr/>
      </w:pPr>
      <w:r>
        <w:rPr/>
        <w:t>Considérant la circulaire ministérielle du 30 mai 2013 relative à l'octroi des subventions par les pouvoirs locaux ;</w:t>
      </w:r>
    </w:p>
    <w:p>
      <w:pPr>
        <w:pStyle w:val="Normal"/>
        <w:rPr/>
      </w:pPr>
      <w:r>
        <w:rPr/>
        <w:t>Vu le règlement sur la nouvelle comptabilité communale ;</w:t>
      </w:r>
    </w:p>
    <w:p>
      <w:pPr>
        <w:pStyle w:val="Normal"/>
        <w:rPr/>
      </w:pPr>
      <w:r>
        <w:rPr/>
        <w:t>Vu le budget communal de l'exercice 2026 arrêté en séance du Conseil Communal du 22 décembre 2025 ; </w:t>
      </w:r>
    </w:p>
    <w:p>
      <w:pPr>
        <w:pStyle w:val="Normal"/>
        <w:rPr/>
      </w:pPr>
      <w:r>
        <w:rPr/>
        <w:t>Considérant que l’Administration communale de Mont de l’Enclus souhaite réitérer l’organisation de l'arrivée de la 85e.édition Circuit franco-belge sur son territoire, le mercredi 10 juin 2026 ;</w:t>
      </w:r>
    </w:p>
    <w:p>
      <w:pPr>
        <w:pStyle w:val="Normal"/>
        <w:rPr/>
      </w:pPr>
      <w:r>
        <w:rPr/>
        <w:t>Considérant que cet évènement sportif de grande ampleur revêt également un caractère touristique permettant de mettre en valeur notre commune ;</w:t>
      </w:r>
    </w:p>
    <w:p>
      <w:pPr>
        <w:pStyle w:val="Normal"/>
        <w:rPr/>
      </w:pPr>
      <w:r>
        <w:rPr/>
        <w:t>Considérant la convention ci-annexée fixant les droits et obligations réciproques des parties à l'occasion de l'organisation de la manifestation ;</w:t>
      </w:r>
    </w:p>
    <w:p>
      <w:pPr>
        <w:pStyle w:val="Normal"/>
        <w:rPr/>
      </w:pPr>
      <w:r>
        <w:rPr/>
        <w:t>DECIDE : par 8 voix POUR et 4 voix CONTRE (Mme Guemjom, Mme Maes, Mr Vanhonacker, Mme Hernould)</w:t>
      </w:r>
    </w:p>
    <w:p>
      <w:pPr>
        <w:pStyle w:val="Normal"/>
        <w:rPr/>
      </w:pPr>
      <w:r>
        <w:rPr>
          <w:rStyle w:val="Bnr2pod"/>
        </w:rPr>
        <w:t>Article premier :</w:t>
      </w:r>
      <w:r>
        <w:rPr/>
        <w:t> De marquer notre accord sur l’organisation de l’arrivée de la 85e.édition du Circuit franco-belge sur notre territoire, le mercredi 10 juin 2026 ;</w:t>
      </w:r>
    </w:p>
    <w:p>
      <w:pPr>
        <w:pStyle w:val="Normal"/>
        <w:rPr/>
      </w:pPr>
      <w:r>
        <w:rPr>
          <w:rStyle w:val="Bnr2pod"/>
        </w:rPr>
        <w:t>Article 2 :</w:t>
      </w:r>
      <w:r>
        <w:rPr/>
        <w:t> D'approuver les termes de la convention de partenariat entre l'ASBL Cazeau Pédale Templeuve - Circuit Franco-Belge et l'Administration communale de Mont-de-l'Enclus pour l’organisation de l'arrivée de la 85e.édition Circuit franco-belge qui se déroulera le mercredi 10 juin 2026 ; </w:t>
      </w:r>
    </w:p>
    <w:p>
      <w:pPr>
        <w:pStyle w:val="Normal"/>
        <w:rPr/>
      </w:pPr>
      <w:r>
        <w:rPr>
          <w:rStyle w:val="Bnr2pod"/>
        </w:rPr>
        <w:t>Art.3. :</w:t>
      </w:r>
      <w:r>
        <w:rPr/>
        <w:t> D’octroyer un subside de 50.000 € à l’Asbl « Royal Cazeau Pédale Templeuve » conditionnée à l'obligation d’utiliser cette aide aux fins pour lesquelles elle a été octroyée, soit selon prescriptions et le mode de liquidation prévues par la convention ci-annexée (CDLD, art. L3331-6, 3°).</w:t>
      </w:r>
    </w:p>
    <w:p>
      <w:pPr>
        <w:pStyle w:val="Normal"/>
        <w:rPr/>
      </w:pPr>
      <w:r>
        <w:rPr/>
        <w:t> </w:t>
      </w:r>
    </w:p>
    <w:p>
      <w:pPr>
        <w:pStyle w:val="Normal"/>
        <w:rPr/>
      </w:pPr>
      <w:r>
        <w:rPr>
          <w:rStyle w:val="Bnr2pod"/>
        </w:rPr>
        <w:t xml:space="preserve">CONVENTION </w:t>
      </w:r>
    </w:p>
    <w:p>
      <w:pPr>
        <w:pStyle w:val="Normal"/>
        <w:rPr/>
      </w:pPr>
      <w:r>
        <w:rPr/>
        <w:t> </w:t>
      </w:r>
    </w:p>
    <w:p>
      <w:pPr>
        <w:pStyle w:val="Normal"/>
        <w:rPr/>
      </w:pPr>
      <w:r>
        <w:rPr>
          <w:rStyle w:val="Bnr2pod"/>
        </w:rPr>
        <w:t>Entre, d’une part :</w:t>
      </w:r>
    </w:p>
    <w:p>
      <w:pPr>
        <w:pStyle w:val="Bnr3pod"/>
        <w:rPr/>
      </w:pPr>
      <w:r>
        <w:rPr/>
        <w:t>L’Asbl Royal Cazeau Pédale Templeuve – Circuit Franco-Belge, représentée par Monsieur BAEGHE Philippe, Président, dénommé « ORGANISATEUR »</w:t>
      </w:r>
    </w:p>
    <w:p>
      <w:pPr>
        <w:pStyle w:val="Bnr3pod"/>
        <w:rPr/>
      </w:pPr>
      <w:r>
        <w:rPr>
          <w:rStyle w:val="Bnr2pod"/>
        </w:rPr>
        <w:t>Et, d’autre part :</w:t>
      </w:r>
    </w:p>
    <w:p>
      <w:pPr>
        <w:pStyle w:val="Bnr3pod"/>
        <w:rPr/>
      </w:pPr>
      <w:r>
        <w:rPr/>
        <w:t>L’Administration communale de Mont de l’Enclus – 7750, représentée par Monsieur BOURDEAUD’HUY Jean-Pierre, Bourgmestre et Madame BAUSIER Amélie, Directrice générale « PRENEURS » ;</w:t>
      </w:r>
    </w:p>
    <w:p>
      <w:pPr>
        <w:pStyle w:val="Bnr3pod"/>
        <w:rPr/>
      </w:pPr>
      <w:r>
        <w:rPr>
          <w:rStyle w:val="Bnr2pod"/>
        </w:rPr>
        <w:t xml:space="preserve">IL A ÉTÉ CONVENU CE QUI SUIT </w:t>
      </w:r>
    </w:p>
    <w:p>
      <w:pPr>
        <w:pStyle w:val="Bnr3pod"/>
        <w:rPr/>
      </w:pPr>
      <w:r>
        <w:rPr>
          <w:rStyle w:val="Bnr2pod"/>
        </w:rPr>
        <w:t>Article premier</w:t>
      </w:r>
      <w:r>
        <w:rPr/>
        <w:t> : </w:t>
      </w:r>
      <w:r>
        <w:rPr>
          <w:rStyle w:val="Bnr4pod"/>
        </w:rPr>
        <w:t>Dénomination, nature et date de l’évènement</w:t>
      </w:r>
    </w:p>
    <w:p>
      <w:pPr>
        <w:pStyle w:val="Bnr3pod"/>
        <w:rPr/>
      </w:pPr>
      <w:r>
        <w:rPr/>
        <w:t>« 84</w:t>
      </w:r>
      <w:r>
        <w:rPr>
          <w:rStyle w:val="Bnr5pod"/>
        </w:rPr>
        <w:t>e</w:t>
      </w:r>
      <w:r>
        <w:rPr/>
        <w:t>.Edition du Circuit Franco-Belge » - Course cycliste internationale UCI Proseries, le mercredi 10 juin 2026  </w:t>
      </w:r>
    </w:p>
    <w:p>
      <w:pPr>
        <w:pStyle w:val="Bnr3pod"/>
        <w:rPr/>
      </w:pPr>
      <w:r>
        <w:rPr>
          <w:rStyle w:val="Bnr2pod"/>
        </w:rPr>
        <w:t xml:space="preserve">Art.2. : </w:t>
      </w:r>
      <w:r>
        <w:rPr/>
        <w:t> </w:t>
      </w:r>
      <w:r>
        <w:rPr>
          <w:rStyle w:val="Bnr4pod"/>
        </w:rPr>
        <w:t>Objet du partenariat</w:t>
      </w:r>
    </w:p>
    <w:p>
      <w:pPr>
        <w:pStyle w:val="Bnr3pod"/>
        <w:rPr/>
      </w:pPr>
      <w:r>
        <w:rPr/>
        <w:t>L’organisateur concède aux preneurs l’arrivée d’une des composantes de l’évènement décrit à l’article 1</w:t>
      </w:r>
      <w:r>
        <w:rPr>
          <w:rStyle w:val="Bnr5pod"/>
        </w:rPr>
        <w:t>er</w:t>
      </w:r>
      <w:r>
        <w:rPr/>
        <w:t>.</w:t>
      </w:r>
    </w:p>
    <w:p>
      <w:pPr>
        <w:pStyle w:val="Bnr3pod"/>
        <w:rPr/>
      </w:pPr>
      <w:r>
        <w:rPr>
          <w:rStyle w:val="Bnr2pod"/>
        </w:rPr>
        <w:t>Art.3. :</w:t>
      </w:r>
      <w:r>
        <w:rPr/>
        <w:t> </w:t>
      </w:r>
      <w:r>
        <w:rPr>
          <w:rStyle w:val="Bnr4pod"/>
        </w:rPr>
        <w:t>Description de la composante</w:t>
      </w:r>
    </w:p>
    <w:p>
      <w:pPr>
        <w:pStyle w:val="Bnr3pod"/>
        <w:rPr/>
      </w:pPr>
      <w:r>
        <w:rPr>
          <w:rStyle w:val="Bnr2pod"/>
        </w:rPr>
        <w:t>Jour et date :</w:t>
      </w:r>
      <w:r>
        <w:rPr/>
        <w:t> Mercredi 10 juin 2026</w:t>
      </w:r>
    </w:p>
    <w:p>
      <w:pPr>
        <w:pStyle w:val="Bnr3pod"/>
        <w:rPr/>
      </w:pPr>
      <w:r>
        <w:rPr>
          <w:rStyle w:val="Bnr2pod"/>
        </w:rPr>
        <w:t>Site :</w:t>
      </w:r>
      <w:r>
        <w:rPr/>
        <w:t> Arrivée de la course : Enclus du Haut – 7750 Orroir</w:t>
      </w:r>
    </w:p>
    <w:p>
      <w:pPr>
        <w:pStyle w:val="Bnr3pod"/>
        <w:rPr/>
      </w:pPr>
      <w:r>
        <w:rPr>
          <w:rStyle w:val="Bnr2pod"/>
        </w:rPr>
        <w:t>Art.4 : </w:t>
      </w:r>
      <w:r>
        <w:rPr/>
        <w:t> </w:t>
      </w:r>
      <w:r>
        <w:rPr>
          <w:rStyle w:val="Bnr4pod"/>
        </w:rPr>
        <w:t>Cahier des charges</w:t>
      </w:r>
    </w:p>
    <w:p>
      <w:pPr>
        <w:pStyle w:val="Bnr3pod"/>
        <w:rPr/>
      </w:pPr>
      <w:r>
        <w:rPr/>
        <w:t>Les preneurs déclarent avoir pris connaissance du cahier des charges relatif à leurs obligations en tant que partenaires de l’évènement et mettront à la disposition de l’organisateur toutes les infrastructures nécessaires à son bon déroulement en conformité avec le cahier des charges.</w:t>
      </w:r>
    </w:p>
    <w:p>
      <w:pPr>
        <w:pStyle w:val="Bnr3pod"/>
        <w:rPr/>
      </w:pPr>
      <w:r>
        <w:rPr>
          <w:rStyle w:val="Bnr2pod"/>
        </w:rPr>
        <w:t>Art.5.</w:t>
      </w:r>
      <w:r>
        <w:rPr/>
        <w:t> : </w:t>
      </w:r>
      <w:r>
        <w:rPr>
          <w:rStyle w:val="Bnr4pod"/>
        </w:rPr>
        <w:t>Obligations financières</w:t>
      </w:r>
    </w:p>
    <w:p>
      <w:pPr>
        <w:pStyle w:val="Bnr3pod"/>
        <w:rPr/>
      </w:pPr>
      <w:r>
        <w:rPr/>
        <w:t>La participation financière des preneurs agissant solidairement dans la prise en charge de l’évènement tel que précisé à l’article 3 est fixée à 50.000 euros (cinquante mille euros)</w:t>
      </w:r>
    </w:p>
    <w:p>
      <w:pPr>
        <w:pStyle w:val="Bnr3pod"/>
        <w:rPr/>
      </w:pPr>
      <w:r>
        <w:rPr/>
        <w:t>Le montant est à verser sur le compte BE43 0016 7191 1501 au nom de l’Asbl Cazeau pédale circuit Franco-Belge.</w:t>
      </w:r>
    </w:p>
    <w:p>
      <w:pPr>
        <w:pStyle w:val="Bnr6pod"/>
        <w:numPr>
          <w:ilvl w:val="0"/>
          <w:numId w:val="4"/>
        </w:numPr>
        <w:tabs>
          <w:tab w:val="clear" w:pos="709"/>
          <w:tab w:val="left" w:pos="0" w:leader="none"/>
        </w:tabs>
        <w:ind w:left="922" w:hanging="461"/>
        <w:rPr/>
      </w:pPr>
      <w:r>
        <w:rPr/>
        <w:t>50% de subside versé avant l’évènement, le solde après inventaire du respect des conditions de l’évènement.</w:t>
      </w:r>
    </w:p>
    <w:p>
      <w:pPr>
        <w:pStyle w:val="Bnr3pod"/>
        <w:rPr/>
      </w:pPr>
      <w:r>
        <w:rPr/>
        <w:t>L’organisateur s’oblige à rembourser sans délai le subside alloué dans l’hypothèse où l’évènement décrit à l’article 3 est annulé &amp; pour des raisons non imputables aux preneurs mais inhérentes à un manquement dans le chef de l’organisateur.</w:t>
      </w:r>
    </w:p>
    <w:p>
      <w:pPr>
        <w:pStyle w:val="Bnr3pod"/>
        <w:rPr/>
      </w:pPr>
      <w:r>
        <w:rPr>
          <w:rStyle w:val="Bnr2pod"/>
        </w:rPr>
        <w:t xml:space="preserve">Art.6. : </w:t>
      </w:r>
      <w:r>
        <w:rPr/>
        <w:t> </w:t>
      </w:r>
      <w:r>
        <w:rPr>
          <w:rStyle w:val="Bnr4pod"/>
        </w:rPr>
        <w:t>Assurances</w:t>
      </w:r>
    </w:p>
    <w:p>
      <w:pPr>
        <w:pStyle w:val="Bnr3pod"/>
        <w:rPr/>
      </w:pPr>
      <w:r>
        <w:rPr/>
        <w:t>L’organisateur déclare que dans le cadre de l’évènement visé par la présente, sa responsabilité civile est correctement couverte par une assurance souscrite auprès d’une compagnie agréée. Il s’engage à produire, à première demande, le contrat d’assurance souscrit ainsi que la preuve du paiement des primes y afférentes.</w:t>
      </w:r>
    </w:p>
    <w:p>
      <w:pPr>
        <w:pStyle w:val="Bnr3pod"/>
        <w:rPr/>
      </w:pPr>
      <w:r>
        <w:rPr/>
        <w:t> </w:t>
      </w:r>
    </w:p>
    <w:p>
      <w:pPr>
        <w:pStyle w:val="Bnr3pod"/>
        <w:rPr/>
      </w:pPr>
      <w:r>
        <w:rPr/>
        <w:t>FAIT A MONT DE L’ENCLUS, le .....</w:t>
      </w:r>
    </w:p>
    <w:p>
      <w:pPr>
        <w:pStyle w:val="Bnr3pod"/>
        <w:rPr/>
      </w:pPr>
      <w:r>
        <w:rPr/>
        <w:t>                                   </w:t>
      </w:r>
    </w:p>
    <w:p>
      <w:pPr>
        <w:pStyle w:val="Bnr3pod"/>
        <w:rPr/>
      </w:pPr>
      <w:r>
        <w:rPr>
          <w:rStyle w:val="Bnr4pod"/>
        </w:rPr>
        <w:t>(Les signatures seront précédées de la mention olographe « Lu et approuvé » + sceau communal et cachet de l’Asbl)</w:t>
      </w:r>
    </w:p>
    <w:p>
      <w:pPr>
        <w:pStyle w:val="Bnr3pod"/>
        <w:rPr/>
      </w:pPr>
      <w:r>
        <w:rPr>
          <w:rStyle w:val="Bnr2pod"/>
        </w:rPr>
        <w:t xml:space="preserve">L’ORGANISATEUR </w:t>
      </w:r>
    </w:p>
    <w:p>
      <w:pPr>
        <w:pStyle w:val="Bnr3pod"/>
        <w:rPr/>
      </w:pPr>
      <w:r>
        <w:rPr/>
        <w:t> </w:t>
      </w:r>
    </w:p>
    <w:p>
      <w:pPr>
        <w:pStyle w:val="Bnr3pod"/>
        <w:rPr/>
      </w:pPr>
      <w:r>
        <w:rPr/>
        <w:t> </w:t>
      </w:r>
    </w:p>
    <w:p>
      <w:pPr>
        <w:pStyle w:val="Bnr3pod"/>
        <w:rPr/>
      </w:pPr>
      <w:r>
        <w:rPr/>
        <w:t>Le Président de l’Asbl Royal Cazeau Pédale Templeuve – Circuit Franco-Belge                         </w:t>
      </w:r>
    </w:p>
    <w:p>
      <w:pPr>
        <w:pStyle w:val="Normal"/>
        <w:rPr/>
      </w:pPr>
      <w:r>
        <w:rPr/>
        <w:t>BAEGHE Philippe</w:t>
      </w:r>
    </w:p>
    <w:p>
      <w:pPr>
        <w:pStyle w:val="Normal"/>
        <w:rPr/>
      </w:pPr>
      <w:r>
        <w:rPr/>
        <w:t> </w:t>
      </w:r>
    </w:p>
    <w:p>
      <w:pPr>
        <w:pStyle w:val="Normal"/>
        <w:rPr/>
      </w:pPr>
      <w:r>
        <w:rPr>
          <w:rStyle w:val="Bnr2pod"/>
        </w:rPr>
        <w:t>LES PRENEURS</w:t>
      </w:r>
    </w:p>
    <w:p>
      <w:pPr>
        <w:pStyle w:val="Normal"/>
        <w:rPr/>
      </w:pPr>
      <w:r>
        <w:rPr/>
        <w:t>La Directrice générale,                                             Le Bourgmestre,</w:t>
      </w:r>
    </w:p>
    <w:p>
      <w:pPr>
        <w:pStyle w:val="Normal"/>
        <w:rPr/>
      </w:pPr>
      <w:r>
        <w:rPr/>
        <w:t> </w:t>
      </w:r>
    </w:p>
    <w:p>
      <w:pPr>
        <w:pStyle w:val="Normal"/>
        <w:rPr/>
      </w:pPr>
      <w:r>
        <w:rPr/>
        <w:t>BAUSIER A.                                                           BOURDEAUD HUY J.P.</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N°4 : Commodat immobilier avec le Forem - convention de collaboration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w:t>
      </w:r>
    </w:p>
    <w:p>
      <w:pPr>
        <w:pStyle w:val="Normal"/>
        <w:rPr/>
      </w:pPr>
      <w:r>
        <w:rPr/>
        <w:t>Vu la proposition de convention entre la Commune et l’Office wallon de la Formation professionnelle et de l’Emploi (FOREM) ;</w:t>
      </w:r>
    </w:p>
    <w:p>
      <w:pPr>
        <w:pStyle w:val="Normal"/>
        <w:rPr/>
      </w:pPr>
      <w:r>
        <w:rPr/>
        <w:t>Attendu qu'une entrevue a eu lieu entre Mme Verschuere Christel - Echevine de l'environnement et Mr Ulrik Voorspoels - Formateur espaces verts au Forem ;</w:t>
      </w:r>
    </w:p>
    <w:p>
      <w:pPr>
        <w:pStyle w:val="Normal"/>
        <w:rPr/>
      </w:pPr>
      <w:r>
        <w:rPr/>
        <w:t>Considérant que le FOREM souhaite utiliser un/des terrain(s) appartenant à la commune afin d’y organiser des travaux pratiques dans le cadre de la formation de « Jardinier d’entretien » ;</w:t>
      </w:r>
    </w:p>
    <w:p>
      <w:pPr>
        <w:pStyle w:val="Normal"/>
        <w:rPr/>
      </w:pPr>
      <w:r>
        <w:rPr/>
        <w:t>Considérant que cette mise à disposition vise notamment à permettre :</w:t>
      </w:r>
    </w:p>
    <w:p>
      <w:pPr>
        <w:pStyle w:val="PodBulletItem"/>
        <w:numPr>
          <w:ilvl w:val="0"/>
          <w:numId w:val="5"/>
        </w:numPr>
        <w:tabs>
          <w:tab w:val="clear" w:pos="709"/>
          <w:tab w:val="left" w:pos="0" w:leader="none"/>
        </w:tabs>
        <w:ind w:left="922" w:hanging="461"/>
        <w:rPr/>
      </w:pPr>
      <w:r>
        <w:rPr/>
        <w:t>la réalisation de semis et plantations (initiales et de renouvellement) ;</w:t>
      </w:r>
    </w:p>
    <w:p>
      <w:pPr>
        <w:pStyle w:val="PodBulletItem"/>
        <w:numPr>
          <w:ilvl w:val="0"/>
          <w:numId w:val="5"/>
        </w:numPr>
        <w:tabs>
          <w:tab w:val="clear" w:pos="709"/>
          <w:tab w:val="left" w:pos="0" w:leader="none"/>
        </w:tabs>
        <w:ind w:left="922" w:hanging="461"/>
        <w:rPr/>
      </w:pPr>
      <w:r>
        <w:rPr/>
        <w:t>l’entretien et la régulation de la croissance des plantations (arrosage, fertilisation, traitements, etc.) ;</w:t>
      </w:r>
    </w:p>
    <w:p>
      <w:pPr>
        <w:pStyle w:val="PodBulletItem"/>
        <w:numPr>
          <w:ilvl w:val="0"/>
          <w:numId w:val="5"/>
        </w:numPr>
        <w:tabs>
          <w:tab w:val="clear" w:pos="709"/>
          <w:tab w:val="left" w:pos="0" w:leader="none"/>
        </w:tabs>
        <w:ind w:left="922" w:hanging="461"/>
        <w:rPr/>
      </w:pPr>
      <w:r>
        <w:rPr/>
        <w:t>l’utilisation d’outils et d’engins motorisés ;</w:t>
      </w:r>
    </w:p>
    <w:p>
      <w:pPr>
        <w:pStyle w:val="Normal"/>
        <w:rPr/>
      </w:pPr>
      <w:r>
        <w:rPr/>
        <w:t>Considérant que la convention prévoit une mise à disposition à titre gratuit, pour une durée de un an à dater de la signature, durant les horaires habituels de formation (8h00 à 17h00) ;</w:t>
      </w:r>
    </w:p>
    <w:p>
      <w:pPr>
        <w:pStyle w:val="Normal"/>
        <w:rPr/>
      </w:pPr>
      <w:r>
        <w:rPr/>
        <w:t>Considérant que le FOREM s’engage :</w:t>
      </w:r>
    </w:p>
    <w:p>
      <w:pPr>
        <w:pStyle w:val="PodBulletItem"/>
        <w:numPr>
          <w:ilvl w:val="0"/>
          <w:numId w:val="6"/>
        </w:numPr>
        <w:tabs>
          <w:tab w:val="clear" w:pos="709"/>
          <w:tab w:val="left" w:pos="0" w:leader="none"/>
        </w:tabs>
        <w:ind w:left="922" w:hanging="461"/>
        <w:rPr/>
      </w:pPr>
      <w:r>
        <w:rPr/>
        <w:t>à utiliser les lieux en bon père de famille ;</w:t>
      </w:r>
    </w:p>
    <w:p>
      <w:pPr>
        <w:pStyle w:val="PodBulletItem"/>
        <w:numPr>
          <w:ilvl w:val="0"/>
          <w:numId w:val="6"/>
        </w:numPr>
        <w:tabs>
          <w:tab w:val="clear" w:pos="709"/>
          <w:tab w:val="left" w:pos="0" w:leader="none"/>
        </w:tabs>
        <w:ind w:left="922" w:hanging="461"/>
        <w:rPr/>
      </w:pPr>
      <w:r>
        <w:rPr/>
        <w:t>à respecter les réglementations en matière d’environnement, notamment en ce qui concerne la pollution des sols et la gestion des déchets ;</w:t>
      </w:r>
    </w:p>
    <w:p>
      <w:pPr>
        <w:pStyle w:val="PodBulletItem"/>
        <w:numPr>
          <w:ilvl w:val="0"/>
          <w:numId w:val="6"/>
        </w:numPr>
        <w:tabs>
          <w:tab w:val="clear" w:pos="709"/>
          <w:tab w:val="left" w:pos="0" w:leader="none"/>
        </w:tabs>
        <w:ind w:left="922" w:hanging="461"/>
        <w:rPr/>
      </w:pPr>
      <w:r>
        <w:rPr/>
        <w:t>à assumer sa responsabilité civile pour les dommages causés à des tiers ;</w:t>
      </w:r>
    </w:p>
    <w:p>
      <w:pPr>
        <w:pStyle w:val="PodBulletItem"/>
        <w:numPr>
          <w:ilvl w:val="0"/>
          <w:numId w:val="6"/>
        </w:numPr>
        <w:tabs>
          <w:tab w:val="clear" w:pos="709"/>
          <w:tab w:val="left" w:pos="0" w:leader="none"/>
        </w:tabs>
        <w:ind w:left="922" w:hanging="461"/>
        <w:rPr/>
      </w:pPr>
      <w:r>
        <w:rPr/>
        <w:t>à réaliser les travaux validés par le Collège Communal </w:t>
      </w:r>
    </w:p>
    <w:p>
      <w:pPr>
        <w:pStyle w:val="Normal"/>
        <w:rPr/>
      </w:pPr>
      <w:r>
        <w:rPr/>
        <w:t>Considérant l’intérêt public de soutenir les actions de formation professionnelle sur le territoire communal ;</w:t>
      </w:r>
    </w:p>
    <w:p>
      <w:pPr>
        <w:pStyle w:val="Normal"/>
        <w:rPr/>
      </w:pPr>
      <w:r>
        <w:rPr/>
        <w:t>DECIDE : à l'unanimité</w:t>
      </w:r>
    </w:p>
    <w:p>
      <w:pPr>
        <w:pStyle w:val="Normal"/>
        <w:rPr/>
      </w:pPr>
      <w:r>
        <w:rPr>
          <w:rStyle w:val="Bnr1pod"/>
        </w:rPr>
        <w:t>Article 1er :</w:t>
      </w:r>
      <w:r>
        <w:rPr/>
        <w:br/>
        <w:t>D’approuver la convention de mise à disposition de terrains communaux au profit du FOREM, telle qu’annexée à la présente délibération.</w:t>
      </w:r>
    </w:p>
    <w:p>
      <w:pPr>
        <w:pStyle w:val="Normal"/>
        <w:rPr/>
      </w:pPr>
      <w:r>
        <w:rPr>
          <w:rStyle w:val="Bnr1pod"/>
        </w:rPr>
        <w:t>Article 2 :</w:t>
      </w:r>
      <w:r>
        <w:rPr/>
        <w:br/>
        <w:t>De consentir à la mise à disposition gratuite de terrains déterminés par l'administration pour une durée de un an à compter de la signature de la convention.</w:t>
      </w:r>
    </w:p>
    <w:p>
      <w:pPr>
        <w:pStyle w:val="Normal"/>
        <w:rPr/>
      </w:pPr>
      <w:r>
        <w:rPr>
          <w:rStyle w:val="Bnr1pod"/>
        </w:rPr>
        <w:t>Article 3 :</w:t>
      </w:r>
      <w:r>
        <w:rPr/>
        <w:br/>
        <w:t>De charger le Collège communal de la signature de ladite convention et du suivi de son exécution.</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N°5 : Remplacement parc éclairage public – Exercice 2026 - Convention dans le cadre des relations IN HOUSE - Approbation;</w:t>
      </w:r>
    </w:p>
    <w:p>
      <w:pPr>
        <w:pStyle w:val="Normal"/>
        <w:tabs>
          <w:tab w:val="clear" w:pos="709"/>
        </w:tabs>
        <w:spacing w:before="0" w:after="0"/>
        <w:jc w:val="both"/>
        <w:rPr>
          <w:rFonts w:ascii="Calibri" w:hAnsi="Calibri"/>
        </w:rPr>
      </w:pPr>
      <w:r>
        <w:rPr>
          <w:rFonts w:ascii="Calibri" w:hAnsi="Calibri"/>
        </w:rPr>
      </w:r>
    </w:p>
    <w:p>
      <w:pPr>
        <w:pStyle w:val="Normal"/>
        <w:rPr/>
      </w:pPr>
      <w:r>
        <w:rPr>
          <w:rStyle w:val="Bnr1pod"/>
        </w:rPr>
        <w:t>Mr Vanhonacker </w:t>
      </w:r>
    </w:p>
    <w:p>
      <w:pPr>
        <w:pStyle w:val="Normal"/>
        <w:rPr/>
      </w:pPr>
      <w:r>
        <w:rPr/>
        <w:t>Pouvez-vous me dire dans quelles rues ces travaux vont avoir lieu ?</w:t>
      </w:r>
    </w:p>
    <w:p>
      <w:pPr>
        <w:pStyle w:val="Normal"/>
        <w:rPr/>
      </w:pPr>
      <w:r>
        <w:rPr>
          <w:rStyle w:val="Bnr1pod"/>
        </w:rPr>
        <w:t>Mr le Bourgmestre </w:t>
      </w:r>
    </w:p>
    <w:p>
      <w:pPr>
        <w:pStyle w:val="Normal"/>
        <w:rPr/>
      </w:pPr>
      <w:r>
        <w:rPr/>
        <w:t>Non mais c'est un phasage sur plusieurs années pour arriver à un remplacement à 100 pour 100.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démocratie locale et de décentralisation et plus particulièrement les articles L1123-23/L1122-30*;</w:t>
      </w:r>
    </w:p>
    <w:p>
      <w:pPr>
        <w:pStyle w:val="Normal"/>
        <w:rPr/>
      </w:pPr>
      <w:r>
        <w:rPr/>
        <w:t> </w:t>
      </w:r>
    </w:p>
    <w:p>
      <w:pPr>
        <w:pStyle w:val="Normal"/>
        <w:rPr/>
      </w:pPr>
      <w:r>
        <w:rPr/>
        <w:t>Vu le décret du 12 avril 2001 relatif à l’organisation du marché régional de l’électricité et plus spécialement son article 11 ;</w:t>
      </w:r>
    </w:p>
    <w:p>
      <w:pPr>
        <w:pStyle w:val="Normal"/>
        <w:rPr/>
      </w:pPr>
      <w:r>
        <w:rPr/>
        <w:t> </w:t>
      </w:r>
    </w:p>
    <w:p>
      <w:pPr>
        <w:pStyle w:val="Normal"/>
        <w:rPr/>
      </w:pPr>
      <w:r>
        <w:rPr/>
        <w:t>Vu l’Arrêté du Gouvernement Wallon du 06 novembre 2008 relatif à l’obligation de service public imposée aux gestionnaires de réseau de distribution en termes d’entretien et d’amélioration de l’efficacité énergétique des installations d’éclairage public, notamment son article 4, 6° ;</w:t>
      </w:r>
    </w:p>
    <w:p>
      <w:pPr>
        <w:pStyle w:val="Normal"/>
        <w:rPr/>
      </w:pPr>
      <w:r>
        <w:rPr/>
        <w:t> </w:t>
      </w:r>
    </w:p>
    <w:p>
      <w:pPr>
        <w:pStyle w:val="Normal"/>
        <w:rPr/>
      </w:pPr>
      <w:r>
        <w:rPr/>
        <w:t>Vu l’Arrêté du Gouvernement Wallon du 14 septembre 2017 qui prévoit une nouvelle mission pour Ores afin de proposer et déployer un plan de modernisation des réseaux d’éclairage public par le remplacement de l’ensemble des armatures équipées de lampes à décharge (plus énergivores) par des équipements utilisant les meilleures technologies en matière d’éclairage public et vise les luminaires OSP et non OSP définis comme éclairage public et gérés par Ores ainsi que si nécessaire le remplacement des crosses et supports;</w:t>
      </w:r>
    </w:p>
    <w:p>
      <w:pPr>
        <w:pStyle w:val="Normal"/>
        <w:rPr/>
      </w:pPr>
      <w:r>
        <w:rPr/>
        <w:t> </w:t>
      </w:r>
    </w:p>
    <w:p>
      <w:pPr>
        <w:pStyle w:val="Normal"/>
        <w:rPr/>
      </w:pPr>
      <w:r>
        <w:rPr/>
        <w:t>Vu la délibération prise en séance du Conseil Communal du 30 janvier 2020 par laquelle il approuve la convention-cadre entre la commune et ORES ASSETS SCRL, relative au remplacement du parc d’éclairage public communal sur plusieurs années et ce en vue de sa modernisation ;</w:t>
      </w:r>
    </w:p>
    <w:p>
      <w:pPr>
        <w:pStyle w:val="Normal"/>
        <w:rPr/>
      </w:pPr>
      <w:r>
        <w:rPr/>
        <w:t> </w:t>
      </w:r>
    </w:p>
    <w:p>
      <w:pPr>
        <w:pStyle w:val="Normal"/>
        <w:rPr/>
      </w:pPr>
      <w:r>
        <w:rPr/>
        <w:t>Vu la délibération prise en séance du Conseil Communal du 02 février 2023 par laquelle il décide de renouveler l’adhésion de la commune à la centrale d’achat constituée par l’intercommunale Ores Assets pour l’ensemble des besoins en matières de travaux d’éclairage public ;</w:t>
      </w:r>
    </w:p>
    <w:p>
      <w:pPr>
        <w:pStyle w:val="Normal"/>
        <w:rPr/>
      </w:pPr>
      <w:r>
        <w:rPr/>
        <w:t> </w:t>
      </w:r>
    </w:p>
    <w:p>
      <w:pPr>
        <w:pStyle w:val="Normal"/>
        <w:rPr/>
      </w:pPr>
      <w:r>
        <w:rPr/>
        <w:t>Vu les dispositions de l’Article 30 de la loi du 17 juin 2016 relative aux marchés publics – MB 14.07.2016 – et ses arrêtés d’exécution ;</w:t>
      </w:r>
    </w:p>
    <w:p>
      <w:pPr>
        <w:pStyle w:val="Normal"/>
        <w:rPr/>
      </w:pPr>
      <w:r>
        <w:rPr/>
        <w:t> </w:t>
      </w:r>
    </w:p>
    <w:p>
      <w:pPr>
        <w:pStyle w:val="Normal"/>
        <w:rPr/>
      </w:pPr>
      <w:r>
        <w:rPr/>
        <w:t>Attendu que la commune de Mont-de-l’Enclus est associée à l’Intercommunale Ores ;</w:t>
      </w:r>
    </w:p>
    <w:p>
      <w:pPr>
        <w:pStyle w:val="Normal"/>
        <w:rPr/>
      </w:pPr>
      <w:r>
        <w:rPr/>
        <w:t> </w:t>
      </w:r>
    </w:p>
    <w:p>
      <w:pPr>
        <w:pStyle w:val="Normal"/>
        <w:rPr/>
      </w:pPr>
      <w:r>
        <w:rPr/>
        <w:t>Attendu que dans notre entité, pour l’exercice 2026, il y a lieu de remplacer 59 luminaires OSP ;</w:t>
      </w:r>
    </w:p>
    <w:p>
      <w:pPr>
        <w:pStyle w:val="Normal"/>
        <w:rPr/>
      </w:pPr>
      <w:r>
        <w:rPr/>
        <w:t> </w:t>
      </w:r>
    </w:p>
    <w:p>
      <w:pPr>
        <w:pStyle w:val="Normal"/>
        <w:rPr/>
      </w:pPr>
      <w:r>
        <w:rPr/>
        <w:t>Considérant que la réalisation de ces travaux de remplacement permettra de réaliser une économie annuelle sur les factures de consommation d’électricité évalué par Ores au montant de 4.293,00 € Htva décrite dans le calcul d’économie d’énergie annexé à l’offre ;                  </w:t>
      </w:r>
    </w:p>
    <w:p>
      <w:pPr>
        <w:pStyle w:val="Normal"/>
        <w:rPr/>
      </w:pPr>
      <w:r>
        <w:rPr/>
        <w:t> </w:t>
      </w:r>
    </w:p>
    <w:p>
      <w:pPr>
        <w:pStyle w:val="Normal"/>
        <w:rPr/>
      </w:pPr>
      <w:r>
        <w:rPr/>
        <w:t>Attendu que préalablement à toute opération de remplacement, des devis seront adressés aux services communaux ;</w:t>
      </w:r>
    </w:p>
    <w:p>
      <w:pPr>
        <w:pStyle w:val="Normal"/>
        <w:rPr/>
      </w:pPr>
      <w:r>
        <w:rPr/>
        <w:t> </w:t>
      </w:r>
    </w:p>
    <w:p>
      <w:pPr>
        <w:pStyle w:val="Normal"/>
        <w:rPr/>
      </w:pPr>
      <w:r>
        <w:rPr/>
        <w:t>Attendu que le coût des travaux de remplacement est estimé à 24.190,00 € HTVA, soit 29.269,00 TVAC dont 16.815,00 € HTVA - 20.346 € TVAC de part communale ;</w:t>
      </w:r>
    </w:p>
    <w:p>
      <w:pPr>
        <w:pStyle w:val="Normal"/>
        <w:rPr/>
      </w:pPr>
      <w:r>
        <w:rPr/>
        <w:t> </w:t>
      </w:r>
    </w:p>
    <w:p>
      <w:pPr>
        <w:pStyle w:val="Normal"/>
        <w:rPr/>
      </w:pPr>
      <w:r>
        <w:rPr/>
        <w:t>Attendu que les crédits nécessaires à la dépense sont prévus au budget extraordinaire de l’exercice 2026, à l’article 426/73254 projet 20260004, dépense couverte par un emprunt ;</w:t>
      </w:r>
    </w:p>
    <w:p>
      <w:pPr>
        <w:pStyle w:val="Bnr3pod"/>
        <w:rPr/>
      </w:pPr>
      <w:r>
        <w:rPr>
          <w:rStyle w:val="Bnr1pod"/>
        </w:rPr>
        <w:t>DECIDE : à l'unanimité               </w:t>
      </w:r>
    </w:p>
    <w:p>
      <w:pPr>
        <w:pStyle w:val="Bnr3pod"/>
        <w:rPr/>
      </w:pPr>
      <w:r>
        <w:rPr>
          <w:rStyle w:val="Bnr7pod"/>
        </w:rPr>
        <w:t>Article 1er</w:t>
      </w:r>
      <w:r>
        <w:rPr/>
        <w:t> : De solliciter Ores dans le cadre des services « IN HOUSE » offerts à ses associés pour le projet de remplacement de l’ensemble des armatures équipées de lampes à décharge (plus énergivores) par des équipements utilisant les meilleures technologies en matière d’éclairage et les luminaires OSP et non OSP définis comme éclairage public et gérés par Ores ainsi que si nécessaire, le remplacement des crosses et supports. Un devis sera transmis au Collège Communal qui pourra ultérieurement statuer ;</w:t>
      </w:r>
    </w:p>
    <w:p>
      <w:pPr>
        <w:pStyle w:val="Bnr3pod"/>
        <w:rPr/>
      </w:pPr>
      <w:r>
        <w:rPr/>
        <w:t> </w:t>
      </w:r>
    </w:p>
    <w:p>
      <w:pPr>
        <w:pStyle w:val="Bnr3pod"/>
        <w:rPr/>
      </w:pPr>
      <w:r>
        <w:rPr>
          <w:rStyle w:val="Bnr7pod"/>
        </w:rPr>
        <w:t>Art. 2</w:t>
      </w:r>
      <w:r>
        <w:rPr/>
        <w:t> : de charger le collège communal de l’exécution du marché ;</w:t>
      </w:r>
    </w:p>
    <w:p>
      <w:pPr>
        <w:pStyle w:val="Bnr3pod"/>
        <w:rPr/>
      </w:pPr>
      <w:r>
        <w:rPr/>
        <w:t> </w:t>
      </w:r>
    </w:p>
    <w:p>
      <w:pPr>
        <w:pStyle w:val="Bnr3pod"/>
        <w:rPr/>
      </w:pPr>
      <w:r>
        <w:rPr>
          <w:rStyle w:val="Bnr7pod"/>
        </w:rPr>
        <w:t>Art. 3</w:t>
      </w:r>
      <w:r>
        <w:rPr/>
        <w:t> : Les crédits nécessaires à la dépense sont prévus au budget extraordinaire de l’exercice 2026 à l’article 426/73254 projet 20260004 et aux budgets extraordinaires suivants, dépense couverte par emprunt.</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N°6 : IPALLE : mission d'assistance à la maîtrise d'ouvrage pour les travaux de remplacement d'une portion de l'égouttage à la rue Horlitin à Amougies - Convention dans le cadre des relations In-House :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et ses modifications ultérieures, notamment l'article L1222-3 §1 relatif aux compétences du Conseil communal et les articles L3111-1 et suivants relatifs à la tutelle ;</w:t>
      </w:r>
    </w:p>
    <w:p>
      <w:pPr>
        <w:pStyle w:val="Normal"/>
        <w:rPr/>
      </w:pPr>
      <w:r>
        <w:rPr/>
        <w:t>Vu la loi du 17 juin 2013 relative à la motivation, à l'information et aux voies de recours en matière de marchés publics, de certains marchés de travaux, de fournitures et de services et de concessions et ses modifications ultérieures ;</w:t>
      </w:r>
    </w:p>
    <w:p>
      <w:pPr>
        <w:pStyle w:val="Normal"/>
        <w:rPr/>
      </w:pPr>
      <w:r>
        <w:rPr/>
        <w:t>Vu la loi du 17 juin 2016 relative aux marchés publics et ses modifications ultérieures, notamment l’article 42, § 1, 1° a) (la dépense à approuver HTVA n'atteint pas le seuil de 143.000,00 €) ;</w:t>
      </w:r>
    </w:p>
    <w:p>
      <w:pPr>
        <w:pStyle w:val="Normal"/>
        <w:rPr/>
      </w:pPr>
      <w:r>
        <w:rPr/>
        <w:t>Vu l'arrêté royal du 14 janvier 2013 établissant les règles générales d'exécution des marchés publics et ses modifications ultérieures ;</w:t>
      </w:r>
    </w:p>
    <w:p>
      <w:pPr>
        <w:pStyle w:val="Normal"/>
        <w:rPr/>
      </w:pPr>
      <w:r>
        <w:rPr/>
        <w:t>Vu l'arrêté royal du 18 avril 2017 relatif à la passation des marchés publics dans les secteurs classiques et ses modifications ultérieures, notamment l'article 90, 1° ;</w:t>
      </w:r>
    </w:p>
    <w:p>
      <w:pPr>
        <w:pStyle w:val="Normal"/>
        <w:rPr/>
      </w:pPr>
      <w:r>
        <w:rPr/>
        <w:t>Attendu que des affaissements se sont produits en 2025 devant les habitations sises rue Horlitin n°7, 9 et 11 à 7750 Amougies ;</w:t>
      </w:r>
    </w:p>
    <w:p>
      <w:pPr>
        <w:pStyle w:val="Normal"/>
        <w:rPr/>
      </w:pPr>
      <w:r>
        <w:rPr/>
        <w:t>Attendu que le rapport d'Inisma a mis en cause le manque d'étanchéité du réseau d'égouttage devant les trois habitations; </w:t>
      </w:r>
    </w:p>
    <w:p>
      <w:pPr>
        <w:pStyle w:val="Normal"/>
        <w:rPr/>
      </w:pPr>
      <w:r>
        <w:rPr/>
        <w:t>Attendu qu'il y a donc lieu de remplacer le réseau d'égouttage devant ces trois habitations;  </w:t>
      </w:r>
    </w:p>
    <w:p>
      <w:pPr>
        <w:pStyle w:val="Normal"/>
        <w:rPr/>
      </w:pPr>
      <w:r>
        <w:rPr/>
        <w:t>Attendu que des crédits pour les travaux sont inscrits au budget 2026 à l'article 421/731-60 (projet n°20260025);</w:t>
      </w:r>
    </w:p>
    <w:p>
      <w:pPr>
        <w:pStyle w:val="Normal"/>
        <w:rPr/>
      </w:pPr>
      <w:r>
        <w:rPr/>
        <w:t>Attendu qu’il y a lieu, dans le cadre de ce dossier, de prévoir un auteur de projet pour élaborer le cahier spécial des charges et le suivi du chantier ;</w:t>
      </w:r>
    </w:p>
    <w:p>
      <w:pPr>
        <w:pStyle w:val="Normal"/>
        <w:rPr/>
      </w:pPr>
      <w:r>
        <w:rPr/>
        <w:t>Attendu que l’Administration Communale est associée à l’Intercommunale Ipalle ;  </w:t>
      </w:r>
    </w:p>
    <w:p>
      <w:pPr>
        <w:pStyle w:val="Normal"/>
        <w:rPr/>
      </w:pPr>
      <w:r>
        <w:rPr/>
        <w:t>Attendu que l’Administration Communale agit en qualité de Maître d’ouvrage dans le cadre des travaux de remplacement d'une portion d'égouttage à la rue Horlitin à Amougies mais souhaite recourir aux services d’Ipalle pour l’assistance à la maîtrise d’ouvrage ;</w:t>
      </w:r>
    </w:p>
    <w:p>
      <w:pPr>
        <w:pStyle w:val="Normal"/>
        <w:rPr/>
      </w:pPr>
      <w:r>
        <w:rPr/>
        <w:t>Attendu que l’Intercommunale Ipalle agirait en tant qu’assistant à maîtrise d’ouvrage et d’auteur de projet en qualité de maître d’œuvre chargé de la conception durant la phase d’élaboration du projet ainsi que du suivi de l’exécution durant la phase de réalisation des travaux ;</w:t>
      </w:r>
    </w:p>
    <w:p>
      <w:pPr>
        <w:pStyle w:val="Normal"/>
        <w:rPr/>
      </w:pPr>
      <w:r>
        <w:rPr/>
        <w:t>Vu le projet de convention relative à la mission d’assistance à la maîtrise d’ouvrage en prestation in House ;</w:t>
      </w:r>
    </w:p>
    <w:p>
      <w:pPr>
        <w:pStyle w:val="Normal"/>
        <w:rPr/>
      </w:pPr>
      <w:r>
        <w:rPr/>
        <w:t>Attendu qu’avant que la mission puisse formellement lui être confiée, Ipalle devra établir un devis détaillé des honoraires exigibles pour cette mission ;</w:t>
      </w:r>
    </w:p>
    <w:p>
      <w:pPr>
        <w:pStyle w:val="Normal"/>
        <w:rPr/>
      </w:pPr>
      <w:r>
        <w:rPr/>
        <w:t>Considérant que le crédit permettant cette dépense est inscrit au budget 2026 à l'article 421/733-60 (projet n°20260025) et que des crédits supplémentaires seront inscrits en MB1; </w:t>
      </w:r>
    </w:p>
    <w:p>
      <w:pPr>
        <w:pStyle w:val="Normal"/>
        <w:rPr/>
      </w:pPr>
      <w:r>
        <w:rPr/>
        <w:t>DECIDE : à l'unanimité</w:t>
      </w:r>
    </w:p>
    <w:p>
      <w:pPr>
        <w:pStyle w:val="Normal"/>
        <w:rPr/>
      </w:pPr>
      <w:r>
        <w:rPr>
          <w:rStyle w:val="Bnr1pod"/>
        </w:rPr>
        <w:t> </w:t>
      </w:r>
      <w:r>
        <w:rPr>
          <w:rStyle w:val="Bnr1pod"/>
        </w:rPr>
        <w:t>Art.1.</w:t>
      </w:r>
      <w:r>
        <w:rPr/>
        <w:t> : de solliciter l’Intercommunale Ipalle dans le cadre des services « In House » offerts à ses associés pour le projet des travaux de remplacement d'une portion d'égouttage à la rue Horlitin à 7750 Mont-de-l’Enclus ; un devis sera transmis au Collège Communal qui pourra statuer ultérieurement ;</w:t>
      </w:r>
    </w:p>
    <w:p>
      <w:pPr>
        <w:pStyle w:val="Normal"/>
        <w:rPr/>
      </w:pPr>
      <w:r>
        <w:rPr>
          <w:rStyle w:val="Bnr1pod"/>
        </w:rPr>
        <w:t>Art.2</w:t>
      </w:r>
      <w:r>
        <w:rPr/>
        <w:t>. : d’approuver les termes de la convention d’assistance à la maîtrise d’ouvrage avec Ipalle comme suit :  </w:t>
      </w:r>
    </w:p>
    <w:p>
      <w:pPr>
        <w:pStyle w:val="Bnr3pod"/>
        <w:rPr/>
      </w:pPr>
      <w:r>
        <w:rPr>
          <w:rStyle w:val="Bnr7pod"/>
        </w:rPr>
        <w:t>Article 1 – MISSION</w:t>
      </w:r>
    </w:p>
    <w:p>
      <w:pPr>
        <w:pStyle w:val="Bnr3pod"/>
        <w:rPr/>
      </w:pPr>
      <w:r>
        <w:rPr/>
        <w:t>La mission consiste en l’assistance à maitrise d’ouvrage pour la réalisation des travaux de remplacement d’une portion de l’égouttage de la rue Horlitin à Amougies. Cela est nécessaire à la suite d’effondrements constatés face aux numéros 7, 9 et 11. Ces travaux sont actuellement estimés à 100.000,00 € HTVA.</w:t>
      </w:r>
    </w:p>
    <w:p>
      <w:pPr>
        <w:pStyle w:val="Bnr3pod"/>
        <w:rPr/>
      </w:pPr>
      <w:r>
        <w:rPr>
          <w:rStyle w:val="Bnr7pod"/>
        </w:rPr>
        <w:t xml:space="preserve">Article 2 </w:t>
      </w:r>
    </w:p>
    <w:p>
      <w:pPr>
        <w:pStyle w:val="Bnr3pod"/>
        <w:rPr/>
      </w:pPr>
      <w:r>
        <w:rPr/>
        <w:t>La mission confiée à IPALLE comporte :</w:t>
      </w:r>
    </w:p>
    <w:p>
      <w:pPr>
        <w:pStyle w:val="Bnr8pod"/>
        <w:numPr>
          <w:ilvl w:val="1"/>
          <w:numId w:val="7"/>
        </w:numPr>
        <w:tabs>
          <w:tab w:val="clear" w:pos="709"/>
          <w:tab w:val="left" w:pos="0" w:leader="none"/>
        </w:tabs>
        <w:ind w:left="1383" w:hanging="461"/>
        <w:rPr/>
      </w:pPr>
      <w:r>
        <w:rPr>
          <w:rStyle w:val="Bnr7pod"/>
        </w:rPr>
        <w:t>ETUDE</w:t>
      </w:r>
    </w:p>
    <w:p>
      <w:pPr>
        <w:pStyle w:val="Bnr8pod"/>
        <w:numPr>
          <w:ilvl w:val="2"/>
          <w:numId w:val="9"/>
        </w:numPr>
        <w:tabs>
          <w:tab w:val="clear" w:pos="709"/>
          <w:tab w:val="left" w:pos="0" w:leader="none"/>
        </w:tabs>
        <w:ind w:left="1843" w:hanging="461"/>
        <w:rPr/>
      </w:pPr>
      <w:r>
        <w:rPr>
          <w:rStyle w:val="Bnr2pod"/>
        </w:rPr>
        <w:t>Avant-projet</w:t>
      </w:r>
    </w:p>
    <w:p>
      <w:pPr>
        <w:pStyle w:val="Bnr3pod"/>
        <w:rPr/>
      </w:pPr>
      <w:r>
        <w:rPr/>
        <w:t>L’avant-projet comprend les tâches suivantes :</w:t>
      </w:r>
    </w:p>
    <w:p>
      <w:pPr>
        <w:pStyle w:val="Bnr6pod"/>
        <w:numPr>
          <w:ilvl w:val="0"/>
          <w:numId w:val="10"/>
        </w:numPr>
        <w:tabs>
          <w:tab w:val="clear" w:pos="709"/>
          <w:tab w:val="left" w:pos="0" w:leader="none"/>
        </w:tabs>
        <w:ind w:left="922" w:hanging="461"/>
        <w:rPr/>
      </w:pPr>
      <w:r>
        <w:rPr/>
        <w:t>L’organisation et la direction de toutes les réunions préliminaires et conséquentes à l’étude et préalables à l’exécution des travaux ;</w:t>
      </w:r>
    </w:p>
    <w:p>
      <w:pPr>
        <w:pStyle w:val="Bnr6pod"/>
        <w:numPr>
          <w:ilvl w:val="0"/>
          <w:numId w:val="10"/>
        </w:numPr>
        <w:tabs>
          <w:tab w:val="clear" w:pos="709"/>
          <w:tab w:val="left" w:pos="0" w:leader="none"/>
        </w:tabs>
        <w:ind w:left="922" w:hanging="461"/>
        <w:rPr/>
      </w:pPr>
      <w:r>
        <w:rPr/>
        <w:t>L’établissement des contacts nécessaires avec la COMMUNE ou organismes concessionnaires pour définir les options quant aux travaux à prévoir ;</w:t>
      </w:r>
    </w:p>
    <w:p>
      <w:pPr>
        <w:pStyle w:val="Bnr6pod"/>
        <w:numPr>
          <w:ilvl w:val="0"/>
          <w:numId w:val="10"/>
        </w:numPr>
        <w:tabs>
          <w:tab w:val="clear" w:pos="709"/>
          <w:tab w:val="left" w:pos="0" w:leader="none"/>
        </w:tabs>
        <w:ind w:left="922" w:hanging="461"/>
        <w:rPr/>
      </w:pPr>
      <w:r>
        <w:rPr/>
        <w:t>La détermination de l’importance des travaux à prévoir ;</w:t>
      </w:r>
    </w:p>
    <w:p>
      <w:pPr>
        <w:pStyle w:val="Bnr6pod"/>
        <w:numPr>
          <w:ilvl w:val="0"/>
          <w:numId w:val="10"/>
        </w:numPr>
        <w:tabs>
          <w:tab w:val="clear" w:pos="709"/>
          <w:tab w:val="left" w:pos="0" w:leader="none"/>
        </w:tabs>
        <w:ind w:left="922" w:hanging="461"/>
        <w:rPr/>
      </w:pPr>
      <w:r>
        <w:rPr/>
        <w:t>L’établissement du dossier d’avant-projet comportant tous les plans et éléments requis ;</w:t>
      </w:r>
    </w:p>
    <w:p>
      <w:pPr>
        <w:pStyle w:val="Bnr6pod"/>
        <w:numPr>
          <w:ilvl w:val="0"/>
          <w:numId w:val="10"/>
        </w:numPr>
        <w:tabs>
          <w:tab w:val="clear" w:pos="709"/>
          <w:tab w:val="left" w:pos="0" w:leader="none"/>
        </w:tabs>
        <w:ind w:left="922" w:hanging="461"/>
        <w:rPr/>
      </w:pPr>
      <w:r>
        <w:rPr/>
        <w:t>La détermination des priorités de passage au projet et de réalisation de travaux par fractionnements éventuels en plusieurs lots, pour répondre aux possibilités budgétaires allouées par la COMMUNE ;</w:t>
      </w:r>
    </w:p>
    <w:p>
      <w:pPr>
        <w:pStyle w:val="Bnr6pod"/>
        <w:numPr>
          <w:ilvl w:val="0"/>
          <w:numId w:val="10"/>
        </w:numPr>
        <w:tabs>
          <w:tab w:val="clear" w:pos="709"/>
          <w:tab w:val="left" w:pos="0" w:leader="none"/>
        </w:tabs>
        <w:ind w:left="922" w:hanging="461"/>
        <w:rPr/>
      </w:pPr>
      <w:r>
        <w:rPr/>
        <w:t>La détermination du mode de passation de marché.</w:t>
      </w:r>
    </w:p>
    <w:p>
      <w:pPr>
        <w:pStyle w:val="Bnr8pod"/>
        <w:numPr>
          <w:ilvl w:val="2"/>
          <w:numId w:val="12"/>
        </w:numPr>
        <w:tabs>
          <w:tab w:val="clear" w:pos="709"/>
          <w:tab w:val="left" w:pos="0" w:leader="none"/>
        </w:tabs>
        <w:ind w:left="1843" w:hanging="461"/>
        <w:rPr/>
      </w:pPr>
      <w:r>
        <w:rPr>
          <w:rStyle w:val="Bnr2pod"/>
        </w:rPr>
        <w:t>Projet et mise en concurrence</w:t>
      </w:r>
      <w:r>
        <w:rPr/>
        <w:t> </w:t>
      </w:r>
    </w:p>
    <w:p>
      <w:pPr>
        <w:pStyle w:val="Bnr3pod"/>
        <w:rPr/>
      </w:pPr>
      <w:r>
        <w:rPr/>
        <w:t>IPALLE constitue le(s) dossier(s) projet sur base de l’avant-projet approuvé et comprenant tous les éléments nécessaires à la mise en concurrence.</w:t>
      </w:r>
    </w:p>
    <w:p>
      <w:pPr>
        <w:pStyle w:val="Bnr3pod"/>
        <w:rPr/>
      </w:pPr>
      <w:r>
        <w:rPr/>
        <w:t>IPALLE assurera :</w:t>
      </w:r>
    </w:p>
    <w:p>
      <w:pPr>
        <w:pStyle w:val="Bnr6pod"/>
        <w:numPr>
          <w:ilvl w:val="0"/>
          <w:numId w:val="13"/>
        </w:numPr>
        <w:tabs>
          <w:tab w:val="clear" w:pos="709"/>
          <w:tab w:val="left" w:pos="0" w:leader="none"/>
        </w:tabs>
        <w:ind w:left="922" w:hanging="461"/>
        <w:rPr/>
      </w:pPr>
      <w:r>
        <w:rPr/>
        <w:t>L’établissement des documents nécessaires à la mise en concurrence des entrepreneurs pour chacun des lots éventuels, à savoir :</w:t>
      </w:r>
    </w:p>
    <w:p>
      <w:pPr>
        <w:pStyle w:val="Bnr6pod"/>
        <w:numPr>
          <w:ilvl w:val="1"/>
          <w:numId w:val="13"/>
        </w:numPr>
        <w:tabs>
          <w:tab w:val="clear" w:pos="709"/>
          <w:tab w:val="left" w:pos="0" w:leader="none"/>
        </w:tabs>
        <w:ind w:left="1383" w:hanging="461"/>
        <w:rPr/>
      </w:pPr>
      <w:r>
        <w:rPr/>
        <w:t>Les clauses administratives et techniques du cahier spécial des charges ;</w:t>
      </w:r>
    </w:p>
    <w:p>
      <w:pPr>
        <w:pStyle w:val="Bnr6pod"/>
        <w:numPr>
          <w:ilvl w:val="1"/>
          <w:numId w:val="13"/>
        </w:numPr>
        <w:tabs>
          <w:tab w:val="clear" w:pos="709"/>
          <w:tab w:val="left" w:pos="0" w:leader="none"/>
        </w:tabs>
        <w:ind w:left="1383" w:hanging="461"/>
        <w:rPr/>
      </w:pPr>
      <w:r>
        <w:rPr/>
        <w:t>Le métré des travaux ;</w:t>
      </w:r>
    </w:p>
    <w:p>
      <w:pPr>
        <w:pStyle w:val="Bnr6pod"/>
        <w:numPr>
          <w:ilvl w:val="1"/>
          <w:numId w:val="13"/>
        </w:numPr>
        <w:tabs>
          <w:tab w:val="clear" w:pos="709"/>
          <w:tab w:val="left" w:pos="0" w:leader="none"/>
        </w:tabs>
        <w:ind w:left="1383" w:hanging="461"/>
        <w:rPr/>
      </w:pPr>
      <w:r>
        <w:rPr/>
        <w:t>Le devis estimatif ;</w:t>
      </w:r>
    </w:p>
    <w:p>
      <w:pPr>
        <w:pStyle w:val="Bnr6pod"/>
        <w:numPr>
          <w:ilvl w:val="1"/>
          <w:numId w:val="13"/>
        </w:numPr>
        <w:tabs>
          <w:tab w:val="clear" w:pos="709"/>
          <w:tab w:val="left" w:pos="0" w:leader="none"/>
        </w:tabs>
        <w:ind w:left="1383" w:hanging="461"/>
        <w:rPr/>
      </w:pPr>
      <w:r>
        <w:rPr/>
        <w:t>Les plans terriers, de profils en long, plans de détail des divers ouvrages à réaliser et des chambres de visite.</w:t>
      </w:r>
    </w:p>
    <w:p>
      <w:pPr>
        <w:pStyle w:val="Bnr6pod"/>
        <w:numPr>
          <w:ilvl w:val="0"/>
          <w:numId w:val="13"/>
        </w:numPr>
        <w:tabs>
          <w:tab w:val="clear" w:pos="709"/>
          <w:tab w:val="left" w:pos="0" w:leader="none"/>
        </w:tabs>
        <w:ind w:left="922" w:hanging="461"/>
        <w:rPr/>
      </w:pPr>
      <w:r>
        <w:rPr/>
        <w:t>La fourniture de 2 exemplaires du dossier projet approuvé par la COMMUNE ;</w:t>
      </w:r>
    </w:p>
    <w:p>
      <w:pPr>
        <w:pStyle w:val="Bnr6pod"/>
        <w:numPr>
          <w:ilvl w:val="0"/>
          <w:numId w:val="13"/>
        </w:numPr>
        <w:tabs>
          <w:tab w:val="clear" w:pos="709"/>
          <w:tab w:val="left" w:pos="0" w:leader="none"/>
        </w:tabs>
        <w:ind w:left="922" w:hanging="461"/>
        <w:rPr/>
      </w:pPr>
      <w:r>
        <w:rPr/>
        <w:t>L’examen des offres et l’établissement du rapport d’analyse des offres pour chaque marché, avec proposition de l’adjudicataire ;</w:t>
      </w:r>
    </w:p>
    <w:p>
      <w:pPr>
        <w:pStyle w:val="Bnr6pod"/>
        <w:numPr>
          <w:ilvl w:val="0"/>
          <w:numId w:val="13"/>
        </w:numPr>
        <w:tabs>
          <w:tab w:val="clear" w:pos="709"/>
          <w:tab w:val="left" w:pos="0" w:leader="none"/>
        </w:tabs>
        <w:ind w:left="922" w:hanging="461"/>
        <w:rPr/>
      </w:pPr>
      <w:r>
        <w:rPr/>
        <w:t>La publication sur la plateforme électronique e-Procurement, pour compte de la commune, des documents des marchés en ce compris les éventuels avis rectificatifs ;</w:t>
      </w:r>
    </w:p>
    <w:p>
      <w:pPr>
        <w:pStyle w:val="Bnr6pod"/>
        <w:numPr>
          <w:ilvl w:val="0"/>
          <w:numId w:val="13"/>
        </w:numPr>
        <w:tabs>
          <w:tab w:val="clear" w:pos="709"/>
          <w:tab w:val="left" w:pos="0" w:leader="none"/>
        </w:tabs>
        <w:ind w:left="922" w:hanging="461"/>
        <w:rPr/>
      </w:pPr>
      <w:r>
        <w:rPr/>
        <w:t>L’ouverture électronique des offres sur la plateforme e-Procurement.</w:t>
      </w:r>
    </w:p>
    <w:p>
      <w:pPr>
        <w:pStyle w:val="Bnr9pod"/>
        <w:rPr/>
      </w:pPr>
      <w:r>
        <w:rPr/>
        <w:t>Il est précisé que la COMMUNE, en sa qualité de maître de l’ouvrage, est le pouvoir adjudicateur des marchés, nonobstant les missions réalisées par IPALLE et ci-avant précisées. À cet effet, la COMMUNE s’engage à adapter les décisions utiles par ses organes compétents, sur proposition d’IPALLE, le cas échéant.</w:t>
      </w:r>
    </w:p>
    <w:p>
      <w:pPr>
        <w:pStyle w:val="Bnr3pod"/>
        <w:rPr/>
      </w:pPr>
      <w:r>
        <w:rPr/>
        <w:t>La COMMUNE fournit à IPALLE une copie de tous les documents nécessaires à cette mission. La COMMUNE se charge de soumettre le dossier d’avant-projet à l’approbation de son Conseil Communal.</w:t>
      </w:r>
    </w:p>
    <w:p>
      <w:pPr>
        <w:pStyle w:val="Bnr8pod"/>
        <w:numPr>
          <w:ilvl w:val="1"/>
          <w:numId w:val="15"/>
        </w:numPr>
        <w:tabs>
          <w:tab w:val="clear" w:pos="709"/>
          <w:tab w:val="left" w:pos="0" w:leader="none"/>
        </w:tabs>
        <w:ind w:left="1383" w:hanging="461"/>
        <w:rPr/>
      </w:pPr>
      <w:r>
        <w:rPr>
          <w:rStyle w:val="Bnr7pod"/>
        </w:rPr>
        <w:t>DIRECTION DES TRAVAUX</w:t>
      </w:r>
    </w:p>
    <w:p>
      <w:pPr>
        <w:pStyle w:val="Bnr3pod"/>
        <w:rPr/>
      </w:pPr>
      <w:r>
        <w:rPr/>
        <w:t>La direction des travaux comprend :</w:t>
      </w:r>
    </w:p>
    <w:p>
      <w:pPr>
        <w:pStyle w:val="Bnr6pod"/>
        <w:numPr>
          <w:ilvl w:val="0"/>
          <w:numId w:val="16"/>
        </w:numPr>
        <w:tabs>
          <w:tab w:val="clear" w:pos="709"/>
          <w:tab w:val="left" w:pos="0" w:leader="none"/>
        </w:tabs>
        <w:ind w:left="922" w:hanging="461"/>
        <w:rPr/>
      </w:pPr>
      <w:r>
        <w:rPr/>
        <w:t>Le contrôle de l’exécution des travaux ;</w:t>
      </w:r>
    </w:p>
    <w:p>
      <w:pPr>
        <w:pStyle w:val="Bnr6pod"/>
        <w:numPr>
          <w:ilvl w:val="0"/>
          <w:numId w:val="16"/>
        </w:numPr>
        <w:tabs>
          <w:tab w:val="clear" w:pos="709"/>
          <w:tab w:val="left" w:pos="0" w:leader="none"/>
        </w:tabs>
        <w:ind w:left="922" w:hanging="461"/>
        <w:rPr/>
      </w:pPr>
      <w:r>
        <w:rPr/>
        <w:t>La participation aux réunions de chantier (1 par semaine ou plus si nécessaire) ;</w:t>
      </w:r>
    </w:p>
    <w:p>
      <w:pPr>
        <w:pStyle w:val="Bnr6pod"/>
        <w:numPr>
          <w:ilvl w:val="0"/>
          <w:numId w:val="16"/>
        </w:numPr>
        <w:tabs>
          <w:tab w:val="clear" w:pos="709"/>
          <w:tab w:val="left" w:pos="0" w:leader="none"/>
        </w:tabs>
        <w:ind w:left="922" w:hanging="461"/>
        <w:rPr/>
      </w:pPr>
      <w:r>
        <w:rPr/>
        <w:t>Le contrôle des états d’avancement ;</w:t>
      </w:r>
    </w:p>
    <w:p>
      <w:pPr>
        <w:pStyle w:val="Bnr6pod"/>
        <w:numPr>
          <w:ilvl w:val="0"/>
          <w:numId w:val="16"/>
        </w:numPr>
        <w:tabs>
          <w:tab w:val="clear" w:pos="709"/>
          <w:tab w:val="left" w:pos="0" w:leader="none"/>
        </w:tabs>
        <w:ind w:left="922" w:hanging="461"/>
        <w:rPr/>
      </w:pPr>
      <w:r>
        <w:rPr/>
        <w:t>La vérification du décompte final dressé par l’entrepreneur avant réception provisoire ;</w:t>
      </w:r>
    </w:p>
    <w:p>
      <w:pPr>
        <w:pStyle w:val="Bnr6pod"/>
        <w:numPr>
          <w:ilvl w:val="0"/>
          <w:numId w:val="16"/>
        </w:numPr>
        <w:tabs>
          <w:tab w:val="clear" w:pos="709"/>
          <w:tab w:val="left" w:pos="0" w:leader="none"/>
        </w:tabs>
        <w:ind w:left="922" w:hanging="461"/>
        <w:rPr/>
      </w:pPr>
      <w:r>
        <w:rPr/>
        <w:t>L’assistance à la COMMUNE pour les réceptions des travaux.</w:t>
      </w:r>
    </w:p>
    <w:p>
      <w:pPr>
        <w:pStyle w:val="Bnr8pod"/>
        <w:numPr>
          <w:ilvl w:val="1"/>
          <w:numId w:val="18"/>
        </w:numPr>
        <w:tabs>
          <w:tab w:val="clear" w:pos="709"/>
          <w:tab w:val="left" w:pos="0" w:leader="none"/>
        </w:tabs>
        <w:ind w:left="1383" w:hanging="461"/>
        <w:rPr/>
      </w:pPr>
      <w:r>
        <w:rPr>
          <w:rStyle w:val="Bnr7pod"/>
        </w:rPr>
        <w:t>SURVEILLANCE DES TRAVAUX</w:t>
      </w:r>
    </w:p>
    <w:p>
      <w:pPr>
        <w:pStyle w:val="Bnr3pod"/>
        <w:rPr/>
      </w:pPr>
      <w:r>
        <w:rPr/>
        <w:t>Le cas échéant, cette mission comporte un passage régulier du personnel d’IPALLE pour s’assurer du parfait déroulement des travaux.</w:t>
      </w:r>
    </w:p>
    <w:p>
      <w:pPr>
        <w:pStyle w:val="Bnr3pod"/>
        <w:rPr/>
      </w:pPr>
      <w:r>
        <w:rPr/>
        <w:t> </w:t>
      </w:r>
    </w:p>
    <w:p>
      <w:pPr>
        <w:pStyle w:val="Bnr3pod"/>
        <w:rPr/>
      </w:pPr>
      <w:r>
        <w:rPr>
          <w:rStyle w:val="Bnr7pod"/>
        </w:rPr>
        <w:t>Article 3. – FRAIS ET MISSION A CHARGE DE LA COMMUNE</w:t>
      </w:r>
    </w:p>
    <w:p>
      <w:pPr>
        <w:pStyle w:val="Bnr3pod"/>
        <w:rPr/>
      </w:pPr>
      <w:r>
        <w:rPr/>
        <w:t> </w:t>
      </w:r>
    </w:p>
    <w:p>
      <w:pPr>
        <w:pStyle w:val="Bnr3pod"/>
        <w:rPr/>
      </w:pPr>
      <w:r>
        <w:rPr/>
        <w:t>La réalisation du plan d’emprise et l’acquisition (ou la mise à disposition) des parcelles nécessaires à la réalisation des travaux sera gérée au niveau communal. IPALLE définira, en concertation avec la COMMUNE, les essais éventuels à réaliser. Le cas échéant, IPALLE se chargera du marché de service relatif à ces essais et transmettra son analyse à la COMMUNE. La COMMUNE passera commande des essais et en supportera les frais directs associés. La mission de coordination sécurité correspondant aux prestations décrites dans l’AR du 25 janvier 2001 constitue une charge communale. En cas de travaux conjoints, cette mission peut être commandée à IPALLE. De même, les contrôles autres que ceux réalisés par IPALLE sont à charge de la COMMUNE.</w:t>
      </w:r>
    </w:p>
    <w:p>
      <w:pPr>
        <w:pStyle w:val="Bnr3pod"/>
        <w:rPr/>
      </w:pPr>
      <w:r>
        <w:rPr/>
        <w:t> </w:t>
      </w:r>
    </w:p>
    <w:p>
      <w:pPr>
        <w:pStyle w:val="Bnr3pod"/>
        <w:rPr/>
      </w:pPr>
      <w:r>
        <w:rPr>
          <w:rStyle w:val="Bnr7pod"/>
        </w:rPr>
        <w:t>Article 4. - DOCUMENTS</w:t>
      </w:r>
    </w:p>
    <w:p>
      <w:pPr>
        <w:pStyle w:val="Bnr3pod"/>
        <w:rPr/>
      </w:pPr>
      <w:r>
        <w:rPr/>
        <w:t> </w:t>
      </w:r>
    </w:p>
    <w:p>
      <w:pPr>
        <w:pStyle w:val="Bnr3pod"/>
        <w:rPr/>
      </w:pPr>
      <w:r>
        <w:rPr/>
        <w:t>IPALLE remet à la COMMUNE un exemplaire des documents pour approbation à chacun des stades de sa mission. Ces documents sont établis en langue française.</w:t>
      </w:r>
    </w:p>
    <w:p>
      <w:pPr>
        <w:pStyle w:val="Bnr3pod"/>
        <w:rPr/>
      </w:pPr>
      <w:r>
        <w:rPr/>
        <w:t> </w:t>
      </w:r>
    </w:p>
    <w:p>
      <w:pPr>
        <w:pStyle w:val="Bnr3pod"/>
        <w:rPr/>
      </w:pPr>
      <w:r>
        <w:rPr>
          <w:rStyle w:val="Bnr7pod"/>
        </w:rPr>
        <w:t>Article 5.- HONORAIRES</w:t>
      </w:r>
    </w:p>
    <w:p>
      <w:pPr>
        <w:pStyle w:val="Bnr3pod"/>
        <w:rPr/>
      </w:pPr>
      <w:r>
        <w:rPr/>
        <w:t> </w:t>
      </w:r>
    </w:p>
    <w:p>
      <w:pPr>
        <w:pStyle w:val="Bnr3pod"/>
        <w:rPr/>
      </w:pPr>
      <w:r>
        <w:rPr/>
        <w:t>Les honoraires dus à IPALLE, fixés sur base du coût final des travaux du chapitre relatif aux travaux communaux (montant final des travaux HTVA et révisions comprises), se décomposent, par lot, comme suit :</w:t>
      </w:r>
    </w:p>
    <w:p>
      <w:pPr>
        <w:pStyle w:val="Bnr3pod"/>
        <w:rPr/>
      </w:pPr>
      <w:r>
        <w:rPr/>
        <w:t> </w:t>
      </w:r>
    </w:p>
    <w:p>
      <w:pPr>
        <w:pStyle w:val="Bnr3pod"/>
        <w:rPr/>
      </w:pPr>
      <w:r>
        <w:rPr>
          <w:rStyle w:val="Bnr10pod"/>
        </w:rPr>
        <w:t>Pour les dossiers exclusifs :</w:t>
      </w:r>
    </w:p>
    <w:p>
      <w:pPr>
        <w:pStyle w:val="Bnr3pod"/>
        <w:rPr/>
      </w:pPr>
      <w:r>
        <w:rPr/>
        <w:t> </w:t>
      </w:r>
    </w:p>
    <w:p>
      <w:pPr>
        <w:pStyle w:val="Bnr6pod"/>
        <w:numPr>
          <w:ilvl w:val="0"/>
          <w:numId w:val="19"/>
        </w:numPr>
        <w:tabs>
          <w:tab w:val="clear" w:pos="709"/>
          <w:tab w:val="left" w:pos="0" w:leader="none"/>
        </w:tabs>
        <w:ind w:left="922" w:hanging="461"/>
        <w:rPr/>
      </w:pPr>
      <w:r>
        <w:rPr/>
        <w:t>Assistance à Maitrise d’ouvrage : 2,5 % du montant des travaux ;</w:t>
      </w:r>
    </w:p>
    <w:p>
      <w:pPr>
        <w:pStyle w:val="Bnr6pod"/>
        <w:numPr>
          <w:ilvl w:val="0"/>
          <w:numId w:val="19"/>
        </w:numPr>
        <w:tabs>
          <w:tab w:val="clear" w:pos="709"/>
          <w:tab w:val="left" w:pos="0" w:leader="none"/>
        </w:tabs>
        <w:ind w:left="922" w:hanging="461"/>
        <w:rPr/>
      </w:pPr>
      <w:r>
        <w:rPr/>
        <w:t>Honoraires d’études et de direction des travaux sont fixés par tranche à :</w:t>
      </w:r>
    </w:p>
    <w:p>
      <w:pPr>
        <w:pStyle w:val="Bnr6pod"/>
        <w:numPr>
          <w:ilvl w:val="1"/>
          <w:numId w:val="20"/>
        </w:numPr>
        <w:tabs>
          <w:tab w:val="clear" w:pos="709"/>
          <w:tab w:val="left" w:pos="0" w:leader="none"/>
        </w:tabs>
        <w:ind w:left="1383" w:hanging="461"/>
        <w:rPr/>
      </w:pPr>
      <w:r>
        <w:rPr/>
        <w:t>9 % pour les travaux jusqu’à 380.000 €HTVA ;</w:t>
      </w:r>
    </w:p>
    <w:p>
      <w:pPr>
        <w:pStyle w:val="Bnr6pod"/>
        <w:numPr>
          <w:ilvl w:val="1"/>
          <w:numId w:val="21"/>
        </w:numPr>
        <w:tabs>
          <w:tab w:val="clear" w:pos="709"/>
          <w:tab w:val="left" w:pos="0" w:leader="none"/>
        </w:tabs>
        <w:ind w:left="1383" w:hanging="461"/>
        <w:rPr/>
      </w:pPr>
      <w:r>
        <w:rPr/>
        <w:t>7% pour la tranche de travaux de 380.000 € à 1.500.000 € HTVA ;</w:t>
      </w:r>
    </w:p>
    <w:p>
      <w:pPr>
        <w:pStyle w:val="Bnr6pod"/>
        <w:numPr>
          <w:ilvl w:val="1"/>
          <w:numId w:val="22"/>
        </w:numPr>
        <w:tabs>
          <w:tab w:val="clear" w:pos="709"/>
          <w:tab w:val="left" w:pos="0" w:leader="none"/>
        </w:tabs>
        <w:ind w:left="1383" w:hanging="461"/>
        <w:rPr/>
      </w:pPr>
      <w:r>
        <w:rPr/>
        <w:t>5 % pour la tranche de travaux de 1.500.000 € à 4.500.000 € HTVA ;</w:t>
      </w:r>
    </w:p>
    <w:p>
      <w:pPr>
        <w:pStyle w:val="Bnr6pod"/>
        <w:numPr>
          <w:ilvl w:val="1"/>
          <w:numId w:val="23"/>
        </w:numPr>
        <w:tabs>
          <w:tab w:val="clear" w:pos="709"/>
          <w:tab w:val="left" w:pos="0" w:leader="none"/>
        </w:tabs>
        <w:ind w:left="1383" w:hanging="461"/>
        <w:rPr/>
      </w:pPr>
      <w:r>
        <w:rPr/>
        <w:t>4,50 % au-delà de 4.500.000 € HTVA.</w:t>
      </w:r>
    </w:p>
    <w:p>
      <w:pPr>
        <w:pStyle w:val="Bnr3pod"/>
        <w:rPr/>
      </w:pPr>
      <w:r>
        <w:rPr/>
        <w:t>Les frais de surveillance travaux : 2,5 % du montant des travaux, le taux pouvant donc être annulé dans le cas où la surveillance est prestée par la Commune.</w:t>
      </w:r>
    </w:p>
    <w:p>
      <w:pPr>
        <w:pStyle w:val="Bnr3pod"/>
        <w:rPr/>
      </w:pPr>
      <w:r>
        <w:rPr/>
        <w:t>Ces honoraires peuvent être pris en charge dans le « Droit de tirage » mis à disposition par Ipalle en fonction des disponibilités financières de la COMMUNE.</w:t>
      </w:r>
    </w:p>
    <w:p>
      <w:pPr>
        <w:pStyle w:val="Bnr3pod"/>
        <w:rPr/>
      </w:pPr>
      <w:r>
        <w:rPr/>
        <w:t> </w:t>
      </w:r>
    </w:p>
    <w:p>
      <w:pPr>
        <w:pStyle w:val="Bnr3pod"/>
        <w:rPr/>
      </w:pPr>
      <w:r>
        <w:rPr>
          <w:rStyle w:val="Bnr7pod"/>
        </w:rPr>
        <w:t>Article 6.- PAIEMENTS</w:t>
      </w:r>
    </w:p>
    <w:p>
      <w:pPr>
        <w:pStyle w:val="Bnr3pod"/>
        <w:rPr/>
      </w:pPr>
      <w:r>
        <w:rPr/>
        <w:t> </w:t>
      </w:r>
    </w:p>
    <w:p>
      <w:pPr>
        <w:pStyle w:val="Bnr3pod"/>
        <w:rPr/>
      </w:pPr>
      <w:r>
        <w:rPr/>
        <w:t>6.1.   Le paiement des honoraires est fractionné comme suit :</w:t>
      </w:r>
    </w:p>
    <w:p>
      <w:pPr>
        <w:pStyle w:val="Bnr6pod"/>
        <w:numPr>
          <w:ilvl w:val="0"/>
          <w:numId w:val="24"/>
        </w:numPr>
        <w:tabs>
          <w:tab w:val="clear" w:pos="709"/>
          <w:tab w:val="left" w:pos="0" w:leader="none"/>
        </w:tabs>
        <w:ind w:left="922" w:hanging="461"/>
        <w:rPr/>
      </w:pPr>
      <w:r>
        <w:rPr/>
        <w:t>30% après acceptation de l‘avant-projet par la COMMUNE ; </w:t>
      </w:r>
    </w:p>
    <w:p>
      <w:pPr>
        <w:pStyle w:val="Bnr6pod"/>
        <w:numPr>
          <w:ilvl w:val="0"/>
          <w:numId w:val="24"/>
        </w:numPr>
        <w:tabs>
          <w:tab w:val="clear" w:pos="709"/>
          <w:tab w:val="left" w:pos="0" w:leader="none"/>
        </w:tabs>
        <w:ind w:left="922" w:hanging="461"/>
        <w:rPr/>
      </w:pPr>
      <w:r>
        <w:rPr/>
        <w:t>60% après acceptation du projet par la COMMUNE ; </w:t>
      </w:r>
    </w:p>
    <w:p>
      <w:pPr>
        <w:pStyle w:val="Bnr6pod"/>
        <w:numPr>
          <w:ilvl w:val="0"/>
          <w:numId w:val="24"/>
        </w:numPr>
        <w:tabs>
          <w:tab w:val="clear" w:pos="709"/>
          <w:tab w:val="left" w:pos="0" w:leader="none"/>
        </w:tabs>
        <w:ind w:left="922" w:hanging="461"/>
        <w:rPr/>
      </w:pPr>
      <w:r>
        <w:rPr/>
        <w:t>80% après acceptation par la COMMUNE du rapport d’analyse des offres ; </w:t>
      </w:r>
    </w:p>
    <w:p>
      <w:pPr>
        <w:pStyle w:val="Bnr6pod"/>
        <w:numPr>
          <w:ilvl w:val="0"/>
          <w:numId w:val="24"/>
        </w:numPr>
        <w:tabs>
          <w:tab w:val="clear" w:pos="709"/>
          <w:tab w:val="left" w:pos="0" w:leader="none"/>
        </w:tabs>
        <w:ind w:left="922" w:hanging="461"/>
        <w:rPr/>
      </w:pPr>
      <w:r>
        <w:rPr/>
        <w:t>100% après réception provisoire des travaux.</w:t>
      </w:r>
    </w:p>
    <w:p>
      <w:pPr>
        <w:pStyle w:val="Bnr11pod"/>
        <w:rPr/>
      </w:pPr>
      <w:r>
        <w:rPr/>
        <w:t>6.2   Les paiements d’honoraires sont valablement effectués par virement au compte BE81 1999 1419 9124 (BIC CREGBEBB) ouvert au nom d’IPALLE à la CBC.</w:t>
      </w:r>
    </w:p>
    <w:p>
      <w:pPr>
        <w:pStyle w:val="Bnr12pod"/>
        <w:rPr/>
      </w:pPr>
      <w:r>
        <w:rPr/>
        <w:t>Les paiements se font dans les 60 jours calendrier suivant la date de réception par la COMMUNE de la note d’honoraires.</w:t>
      </w:r>
    </w:p>
    <w:p>
      <w:pPr>
        <w:pStyle w:val="Bnr13pod"/>
        <w:rPr/>
      </w:pPr>
      <w:r>
        <w:rPr/>
        <w:t>6.3    Si le délai de paiement est dépassé, alors que la note d’honoraires n’a pas donné lieu à contestation, IPALLE a droit à un intérêt calculé au prorata du nombre de jours calendrier de retard au taux légal.</w:t>
      </w:r>
    </w:p>
    <w:p>
      <w:pPr>
        <w:pStyle w:val="Bnr3pod"/>
        <w:rPr/>
      </w:pPr>
      <w:r>
        <w:rPr/>
        <w:t> </w:t>
      </w:r>
    </w:p>
    <w:p>
      <w:pPr>
        <w:pStyle w:val="Bnr3pod"/>
        <w:rPr/>
      </w:pPr>
      <w:r>
        <w:rPr>
          <w:rStyle w:val="Bnr7pod"/>
        </w:rPr>
        <w:t>Article 7. – MODIFICATION DE LA MISSION ET PRESTATIONS SUR BASE DU TEMPS PRESTE</w:t>
      </w:r>
    </w:p>
    <w:p>
      <w:pPr>
        <w:pStyle w:val="Bnr3pod"/>
        <w:rPr/>
      </w:pPr>
      <w:r>
        <w:rPr/>
        <w:t> </w:t>
      </w:r>
    </w:p>
    <w:p>
      <w:pPr>
        <w:pStyle w:val="Bnr3pod"/>
        <w:rPr/>
      </w:pPr>
      <w:r>
        <w:rPr/>
        <w:t>Si la COMMUNE décide, à n’importe quel moment de chaque phase de la mission, de modifier celle-ci, IPALLE a droit à une rémunération et à une prolongation de délai en rapport avec la modification demandée. La rémunération complémentaire éventuelle est arrêtée de commun accord par les parties sur proposition d’IPALLE.</w:t>
      </w:r>
    </w:p>
    <w:p>
      <w:pPr>
        <w:pStyle w:val="Bnr3pod"/>
        <w:rPr/>
      </w:pPr>
      <w:r>
        <w:rPr/>
        <w:t> </w:t>
      </w:r>
    </w:p>
    <w:p>
      <w:pPr>
        <w:pStyle w:val="Bnr3pod"/>
        <w:rPr/>
      </w:pPr>
      <w:r>
        <w:rPr>
          <w:rStyle w:val="Bnr7pod"/>
        </w:rPr>
        <w:t>Article 8. – ASSURANCES</w:t>
      </w:r>
    </w:p>
    <w:p>
      <w:pPr>
        <w:pStyle w:val="Bnr3pod"/>
        <w:rPr/>
      </w:pPr>
      <w:r>
        <w:rPr/>
        <w:t> </w:t>
      </w:r>
    </w:p>
    <w:p>
      <w:pPr>
        <w:pStyle w:val="Bnr3pod"/>
        <w:rPr/>
      </w:pPr>
      <w:r>
        <w:rPr/>
        <w:t>Les assurances nécessaires pendant l’exécution des travaux, autres que celles relatives à la responsabilité professionnelle d’IPALLE, en ce compris celle au sens des articles 1792 et 2270 du Code civil, sont à charge de la COMMUNE. D’un même contexte, l’ensemble des assurances nécessaires à la sauvegarde et/ou à la protection de l’ouvrage en cause sont à charge de la COMMUNE.</w:t>
      </w:r>
    </w:p>
    <w:p>
      <w:pPr>
        <w:pStyle w:val="Bnr3pod"/>
        <w:rPr/>
      </w:pPr>
      <w:r>
        <w:rPr/>
        <w:t>De son côté, IPALLE dispose d’une police d’assurance accidents corporels et une police d’assurance de responsabilité civile couvrant les activités visées au sein de la présente convention. L’assurance responsabilité civile prévoit une intervention de maximum 5.000.000,00 € par sinistre et par an.</w:t>
      </w:r>
    </w:p>
    <w:p>
      <w:pPr>
        <w:pStyle w:val="Bnr3pod"/>
        <w:rPr/>
      </w:pPr>
      <w:r>
        <w:rPr/>
        <w:t>La COMMUNE peut à tout moment demander à IPALLE la preuve de l’existence de la police dont question ci-dessus et de l’étendue des couvertures qu’elle accorde.</w:t>
      </w:r>
    </w:p>
    <w:p>
      <w:pPr>
        <w:pStyle w:val="Bnr3pod"/>
        <w:rPr/>
      </w:pPr>
      <w:r>
        <w:rPr/>
        <w:t> </w:t>
      </w:r>
    </w:p>
    <w:p>
      <w:pPr>
        <w:pStyle w:val="Bnr14pod"/>
        <w:rPr/>
      </w:pPr>
      <w:r>
        <w:rPr>
          <w:rStyle w:val="Bnr7pod"/>
        </w:rPr>
        <w:t>Article 9.- RESPONSABILITE</w:t>
      </w:r>
    </w:p>
    <w:p>
      <w:pPr>
        <w:pStyle w:val="Normal"/>
        <w:rPr/>
      </w:pPr>
      <w:r>
        <w:rPr/>
        <w:t> </w:t>
      </w:r>
    </w:p>
    <w:p>
      <w:pPr>
        <w:pStyle w:val="Bnr3pod"/>
        <w:rPr/>
      </w:pPr>
      <w:r>
        <w:rPr/>
        <w:t xml:space="preserve">En sa qualité d’Assistance à Maîtrise d’Ouvrage, IPALLE fournit ses meilleurs efforts dans la réalisation des missions qui lui sont confiées et n’est tenue à cet égard qu’à une obligation de moyen. IPALLE assume uniquement les éventuelles fautes et/ou omissions qui lui sont imputables dans ses plans, études, calculs ou autres documents fournis par lui dans le cadre de la présente convention. IPALLE n’assume, en aucun cas, les conséquences financières des erreurs et fautes des autres édificateurs. D’autre part, elle ne peut être tenue responsable des défauts internes de conception ou de fabrication des matériaux et fournitures. IPALLE ne se substitue pas aux autres intervenants à la construction et n’assume en tout cas aucune responsabilité </w:t>
      </w:r>
      <w:r>
        <w:rPr>
          <w:rStyle w:val="Bnr4pod"/>
        </w:rPr>
        <w:t>in solidum</w:t>
      </w:r>
      <w:r>
        <w:rPr/>
        <w:t xml:space="preserve"> avec ces derniers. En toute hypothèse, la responsabilité d’IPALLE est limitée aux montants d’interventions financières des assurances dont elle dispose conformément à l’article 8.</w:t>
      </w:r>
    </w:p>
    <w:p>
      <w:pPr>
        <w:pStyle w:val="Normal"/>
        <w:rPr/>
      </w:pPr>
      <w:r>
        <w:rPr/>
        <w:t> </w:t>
      </w:r>
    </w:p>
    <w:p>
      <w:pPr>
        <w:pStyle w:val="Normal"/>
        <w:rPr/>
      </w:pPr>
      <w:r>
        <w:rPr>
          <w:rStyle w:val="Bnr7pod"/>
        </w:rPr>
        <w:t>Article 10.- RESOLUTION DE LA CONVENTION</w:t>
      </w:r>
    </w:p>
    <w:p>
      <w:pPr>
        <w:pStyle w:val="Normal"/>
        <w:rPr/>
      </w:pPr>
      <w:r>
        <w:rPr/>
        <w:t> </w:t>
      </w:r>
    </w:p>
    <w:p>
      <w:pPr>
        <w:pStyle w:val="Normal"/>
        <w:rPr/>
      </w:pPr>
      <w:r>
        <w:rPr/>
        <w:t>Si la COMMUNE met fin à la convention avant l’achèvement de la mission, pour des raisons qui ne sont pas imputables à IPALLE, cette dernière a droit :</w:t>
      </w:r>
    </w:p>
    <w:p>
      <w:pPr>
        <w:pStyle w:val="PodBulletItem"/>
        <w:numPr>
          <w:ilvl w:val="0"/>
          <w:numId w:val="25"/>
        </w:numPr>
        <w:tabs>
          <w:tab w:val="clear" w:pos="709"/>
          <w:tab w:val="left" w:pos="0" w:leader="none"/>
        </w:tabs>
        <w:ind w:left="922" w:hanging="461"/>
        <w:rPr/>
      </w:pPr>
      <w:r>
        <w:rPr/>
        <w:t>aux honoraires correspondants aux prestations déjà fournies ;</w:t>
      </w:r>
    </w:p>
    <w:p>
      <w:pPr>
        <w:pStyle w:val="Bnr15pod"/>
        <w:rPr/>
      </w:pPr>
      <w:r>
        <w:rPr/>
        <w:t>et</w:t>
      </w:r>
    </w:p>
    <w:p>
      <w:pPr>
        <w:pStyle w:val="PodBulletItem"/>
        <w:numPr>
          <w:ilvl w:val="0"/>
          <w:numId w:val="26"/>
        </w:numPr>
        <w:tabs>
          <w:tab w:val="clear" w:pos="709"/>
          <w:tab w:val="left" w:pos="0" w:leader="none"/>
        </w:tabs>
        <w:ind w:left="922" w:hanging="461"/>
        <w:rPr/>
      </w:pPr>
      <w:r>
        <w:rPr/>
        <w:t>à une indemnité forfaitaire s’élevant à 25% des honoraires relatifs aux parties non réalisées de la mission.</w:t>
      </w:r>
    </w:p>
    <w:p>
      <w:pPr>
        <w:pStyle w:val="Bnr16pod"/>
        <w:rPr/>
      </w:pPr>
      <w:r>
        <w:rPr/>
        <w:t> </w:t>
      </w:r>
    </w:p>
    <w:p>
      <w:pPr>
        <w:pStyle w:val="Normal"/>
        <w:rPr/>
      </w:pPr>
      <w:r>
        <w:rPr>
          <w:rStyle w:val="Bnr7pod"/>
        </w:rPr>
        <w:t>Article 11.- RESPONSABILITE QUANT A LA TRANSMISSION DES DOCUMENTS</w:t>
      </w:r>
    </w:p>
    <w:p>
      <w:pPr>
        <w:pStyle w:val="Normal"/>
        <w:rPr/>
      </w:pPr>
      <w:r>
        <w:rPr/>
        <w:t> </w:t>
      </w:r>
    </w:p>
    <w:p>
      <w:pPr>
        <w:pStyle w:val="Normal"/>
        <w:rPr/>
      </w:pPr>
      <w:r>
        <w:rPr/>
        <w:t>Les actes, courriers, décisions, documents administratifs, … portés par le comité de direction n’engagent sa responsabilité que s’ils sont signés par le président de direction et le membre gérant le dossier.</w:t>
      </w:r>
    </w:p>
    <w:p>
      <w:pPr>
        <w:pStyle w:val="Normal"/>
        <w:rPr/>
      </w:pPr>
      <w:r>
        <w:rPr/>
        <w:t> </w:t>
      </w:r>
    </w:p>
    <w:p>
      <w:pPr>
        <w:pStyle w:val="Normal"/>
        <w:rPr/>
      </w:pPr>
      <w:r>
        <w:rPr>
          <w:rStyle w:val="Bnr7pod"/>
        </w:rPr>
        <w:t>Article 12.</w:t>
      </w:r>
    </w:p>
    <w:p>
      <w:pPr>
        <w:pStyle w:val="Normal"/>
        <w:rPr/>
      </w:pPr>
      <w:r>
        <w:rPr/>
        <w:t>Tous les litiges relatifs à l’exécution du contrat sont de la compétence du Tribunal Civil de Tournai.</w:t>
      </w:r>
    </w:p>
    <w:p>
      <w:pPr>
        <w:pStyle w:val="Normal"/>
        <w:rPr/>
      </w:pPr>
      <w:r>
        <w:rPr/>
        <w:t> </w:t>
      </w:r>
    </w:p>
    <w:p>
      <w:pPr>
        <w:pStyle w:val="Normal"/>
        <w:rPr/>
      </w:pPr>
      <w:r>
        <w:rPr>
          <w:rStyle w:val="Bnr1pod"/>
        </w:rPr>
        <w:t>Art.3 : </w:t>
      </w:r>
      <w:r>
        <w:rPr/>
        <w:t>de charger le Collège Communal de l’exécution du marché ;</w:t>
      </w:r>
    </w:p>
    <w:p>
      <w:pPr>
        <w:pStyle w:val="Normal"/>
        <w:rPr/>
      </w:pPr>
      <w:r>
        <w:rPr/>
        <w:t> </w:t>
      </w:r>
    </w:p>
    <w:p>
      <w:pPr>
        <w:pStyle w:val="Normal"/>
        <w:rPr/>
      </w:pPr>
      <w:r>
        <w:rPr>
          <w:rStyle w:val="Bnr1pod"/>
        </w:rPr>
        <w:t>Art.4. : </w:t>
      </w:r>
      <w:r>
        <w:rPr/>
        <w:t>de financer cette dépense par les crédits inscrits au budget 2026 à l'article 421/733-60 (projet n°20260025) et d'inscrire des crédits supplémentaires en MB1. </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N°7 : Commission Locale de Développement Rural : modification de la composition des membres ; prise d'acte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Bnr3pod"/>
        <w:rPr/>
      </w:pPr>
      <w:r>
        <w:rPr/>
        <w:t>Vu le Code de la Démocratie Locale et de la Décentralisation;</w:t>
      </w:r>
    </w:p>
    <w:p>
      <w:pPr>
        <w:pStyle w:val="Bnr3pod"/>
        <w:rPr/>
      </w:pPr>
      <w:r>
        <w:rPr/>
        <w:t>Vu le Décret du Conseil régional wallon du 11 avril 2014 relatif au développement rural ;</w:t>
      </w:r>
    </w:p>
    <w:p>
      <w:pPr>
        <w:pStyle w:val="Bnr3pod"/>
        <w:rPr/>
      </w:pPr>
      <w:r>
        <w:rPr/>
        <w:t>Vu l’Arrêté du Gouvernement wallon du 12 juin 2014 portant exécution dudit décret ;</w:t>
      </w:r>
    </w:p>
    <w:p>
      <w:pPr>
        <w:pStyle w:val="Bnr3pod"/>
        <w:rPr/>
      </w:pPr>
      <w:r>
        <w:rPr/>
        <w:t>Revu sa délibération du 24 octobre 2013 décidant de réviser notre Programme Communal de Développement Rural (PCDR) et de solliciter le Ministre de la Ruralité pour bénéficier de l’accompagnement de la Fondation rurale de Wallonie ;</w:t>
      </w:r>
    </w:p>
    <w:p>
      <w:pPr>
        <w:pStyle w:val="Bnr3pod"/>
        <w:rPr/>
      </w:pPr>
      <w:r>
        <w:rPr/>
        <w:t>Vu la décision du Conseil communal du 14 septembre 2017 approuvant le projet de Programme communal de développement rural de Mont-de-l’Enclus ;</w:t>
      </w:r>
    </w:p>
    <w:p>
      <w:pPr>
        <w:pStyle w:val="Bnr3pod"/>
        <w:rPr/>
      </w:pPr>
      <w:r>
        <w:rPr/>
        <w:t>Vu la circulaire ministérielle du 10 septembre 2021 relatif à la mise en œuvre des programmes communaux de développement rural (PCDR) ;</w:t>
      </w:r>
    </w:p>
    <w:p>
      <w:pPr>
        <w:pStyle w:val="Bnr3pod"/>
        <w:rPr/>
      </w:pPr>
      <w:r>
        <w:rPr/>
        <w:t>Attendu que l'article 5 du décret du 11 avril 2014 stipule que la commune doit créer une commission locale de développement rural (CLDR) ;</w:t>
      </w:r>
    </w:p>
    <w:p>
      <w:pPr>
        <w:pStyle w:val="Bnr3pod"/>
        <w:rPr/>
      </w:pPr>
      <w:r>
        <w:rPr/>
        <w:t>Attendu que l'article 6 dudit décret stipule que celle-ci, présidée par le Bourgmestre ou son représentant, compte dix membres effectifs au moins et trente membres effectifs au plus ainsi qu'un nombre égal de membres suppléants ;</w:t>
      </w:r>
    </w:p>
    <w:p>
      <w:pPr>
        <w:pStyle w:val="Bnr3pod"/>
        <w:rPr/>
      </w:pPr>
      <w:r>
        <w:rPr/>
        <w:t>Considérant qu'un quart des membres effectifs et suppléants peut être désigné au sein du Conseil Communal ;</w:t>
      </w:r>
    </w:p>
    <w:p>
      <w:pPr>
        <w:pStyle w:val="Bnr3pod"/>
        <w:rPr/>
      </w:pPr>
      <w:r>
        <w:rPr/>
        <w:t>Considérant que ces membres sont désignés parmi des personnes représentatives des milieux politique, économique, socio-professionnel et culturel de la commune, des différents villages et hameaux qui la composent ainsi que des classes d'âge de sa population ;</w:t>
      </w:r>
    </w:p>
    <w:p>
      <w:pPr>
        <w:pStyle w:val="Bnr3pod"/>
        <w:rPr/>
      </w:pPr>
      <w:r>
        <w:rPr/>
        <w:t>Considérant que la modification porte sur deux démissions et l'arrivée de cinq nouveaux membres ;</w:t>
      </w:r>
    </w:p>
    <w:p>
      <w:pPr>
        <w:pStyle w:val="Normal"/>
        <w:rPr/>
      </w:pPr>
      <w:r>
        <w:rPr/>
        <w:t>PREND ACTE :</w:t>
      </w:r>
    </w:p>
    <w:p>
      <w:pPr>
        <w:pStyle w:val="Bnr3pod"/>
        <w:rPr/>
      </w:pPr>
      <w:r>
        <w:rPr>
          <w:rStyle w:val="Bnr7pod"/>
        </w:rPr>
        <w:t xml:space="preserve">Article 1er </w:t>
      </w:r>
      <w:r>
        <w:rPr/>
        <w:t>: De la modification de la liste des membres effectifs et suppléants de la Commission locale de développement rural. La liste des membres est la suivante :</w:t>
      </w:r>
    </w:p>
    <w:p>
      <w:pPr>
        <w:pStyle w:val="Bnr3pod"/>
        <w:rPr/>
      </w:pPr>
      <w:r>
        <w:rPr/>
        <w:t> </w:t>
      </w:r>
    </w:p>
    <w:p>
      <w:pPr>
        <w:pStyle w:val="Bnr3pod"/>
        <w:rPr/>
      </w:pPr>
      <w:r>
        <w:rPr/>
        <w:t>Membres effectifs ;</w:t>
      </w:r>
    </w:p>
    <w:p>
      <w:pPr>
        <w:pStyle w:val="Normal"/>
        <w:rPr/>
      </w:pPr>
      <w:r>
        <w:rPr/>
        <w:t>DELCOIGNE Oscar</w:t>
      </w:r>
    </w:p>
    <w:p>
      <w:pPr>
        <w:pStyle w:val="Normal"/>
        <w:rPr/>
      </w:pPr>
      <w:r>
        <w:rPr/>
        <w:t>DESRUEZ Bertrand</w:t>
      </w:r>
    </w:p>
    <w:p>
      <w:pPr>
        <w:pStyle w:val="Normal"/>
        <w:rPr/>
      </w:pPr>
      <w:r>
        <w:rPr/>
        <w:t>MARIAGE Bernard</w:t>
      </w:r>
    </w:p>
    <w:p>
      <w:pPr>
        <w:pStyle w:val="Normal"/>
        <w:rPr/>
      </w:pPr>
      <w:r>
        <w:rPr/>
        <w:t>PECQUEREAU Amélie</w:t>
      </w:r>
    </w:p>
    <w:p>
      <w:pPr>
        <w:pStyle w:val="Normal"/>
        <w:rPr/>
      </w:pPr>
      <w:r>
        <w:rPr/>
        <w:t>VAN CAUWENBERGHE Dominique</w:t>
      </w:r>
    </w:p>
    <w:p>
      <w:pPr>
        <w:pStyle w:val="Normal"/>
        <w:rPr/>
      </w:pPr>
      <w:r>
        <w:rPr/>
        <w:t>VANDENHAUTE Marie-Thérèse</w:t>
      </w:r>
    </w:p>
    <w:p>
      <w:pPr>
        <w:pStyle w:val="Normal"/>
        <w:rPr/>
      </w:pPr>
      <w:r>
        <w:rPr/>
        <w:t>VERDONCK Jean-Pierre</w:t>
      </w:r>
    </w:p>
    <w:p>
      <w:pPr>
        <w:pStyle w:val="Normal"/>
        <w:rPr/>
      </w:pPr>
      <w:r>
        <w:rPr/>
        <w:t>VERMEULEN Achille</w:t>
      </w:r>
    </w:p>
    <w:p>
      <w:pPr>
        <w:pStyle w:val="Normal"/>
        <w:rPr/>
      </w:pPr>
      <w:r>
        <w:rPr/>
        <w:t>WEYTSMAN Nicolas</w:t>
      </w:r>
    </w:p>
    <w:p>
      <w:pPr>
        <w:pStyle w:val="Normal"/>
        <w:rPr/>
      </w:pPr>
      <w:r>
        <w:rPr/>
        <w:t>BOUCART José</w:t>
      </w:r>
    </w:p>
    <w:p>
      <w:pPr>
        <w:pStyle w:val="Normal"/>
        <w:rPr/>
      </w:pPr>
      <w:r>
        <w:rPr/>
        <w:t>LECOMTE Matthieu</w:t>
      </w:r>
    </w:p>
    <w:p>
      <w:pPr>
        <w:pStyle w:val="Normal"/>
        <w:rPr/>
      </w:pPr>
      <w:r>
        <w:rPr/>
        <w:t> </w:t>
      </w:r>
    </w:p>
    <w:p>
      <w:pPr>
        <w:pStyle w:val="Bnr3pod"/>
        <w:rPr/>
      </w:pPr>
      <w:r>
        <w:rPr/>
        <w:t>Membres suppléants ; </w:t>
      </w:r>
    </w:p>
    <w:p>
      <w:pPr>
        <w:pStyle w:val="Normal"/>
        <w:rPr/>
      </w:pPr>
      <w:r>
        <w:rPr/>
        <w:t>MICHIELS Richard</w:t>
      </w:r>
    </w:p>
    <w:p>
      <w:pPr>
        <w:pStyle w:val="Normal"/>
        <w:rPr/>
      </w:pPr>
      <w:r>
        <w:rPr/>
        <w:t>CANOOT Eléonore</w:t>
      </w:r>
    </w:p>
    <w:p>
      <w:pPr>
        <w:pStyle w:val="Normal"/>
        <w:rPr/>
      </w:pPr>
      <w:r>
        <w:rPr/>
        <w:t>D'HONDT Steve</w:t>
      </w:r>
    </w:p>
    <w:p>
      <w:pPr>
        <w:pStyle w:val="Normal"/>
        <w:rPr/>
      </w:pPr>
      <w:r>
        <w:rPr/>
        <w:t>DEBORGIES Elodie</w:t>
      </w:r>
    </w:p>
    <w:p>
      <w:pPr>
        <w:pStyle w:val="Normal"/>
        <w:rPr/>
      </w:pPr>
      <w:r>
        <w:rPr/>
        <w:t>DE BACKER Steven</w:t>
      </w:r>
    </w:p>
    <w:p>
      <w:pPr>
        <w:pStyle w:val="Normal"/>
        <w:rPr/>
      </w:pPr>
      <w:r>
        <w:rPr/>
        <w:t>HEENE Wim</w:t>
      </w:r>
    </w:p>
    <w:p>
      <w:pPr>
        <w:pStyle w:val="Normal"/>
        <w:rPr/>
      </w:pPr>
      <w:r>
        <w:rPr/>
        <w:t>DE PAOLI Nathalie</w:t>
      </w:r>
    </w:p>
    <w:p>
      <w:pPr>
        <w:pStyle w:val="Normal"/>
        <w:rPr/>
      </w:pPr>
      <w:r>
        <w:rPr/>
        <w:t>TYTGAT Frank</w:t>
      </w:r>
    </w:p>
    <w:p>
      <w:pPr>
        <w:pStyle w:val="Normal"/>
        <w:rPr/>
      </w:pPr>
      <w:r>
        <w:rPr/>
        <w:t>SABLAIN Dempsey</w:t>
      </w:r>
    </w:p>
    <w:p>
      <w:pPr>
        <w:pStyle w:val="Normal"/>
        <w:rPr/>
      </w:pPr>
      <w:r>
        <w:rPr/>
        <w:t>DE GROEVE Frederik</w:t>
      </w:r>
    </w:p>
    <w:p>
      <w:pPr>
        <w:pStyle w:val="Normal"/>
        <w:rPr/>
      </w:pPr>
      <w:r>
        <w:rPr/>
        <w:t>BUCKENS Frédérika</w:t>
      </w:r>
    </w:p>
    <w:p>
      <w:pPr>
        <w:pStyle w:val="Normal"/>
        <w:rPr/>
      </w:pPr>
      <w:r>
        <w:rPr/>
        <w:t>BARA Marc</w:t>
      </w:r>
    </w:p>
    <w:p>
      <w:pPr>
        <w:pStyle w:val="Normal"/>
        <w:rPr/>
      </w:pPr>
      <w:r>
        <w:rPr/>
        <w:t> </w:t>
      </w:r>
    </w:p>
    <w:p>
      <w:pPr>
        <w:pStyle w:val="Bnr3pod"/>
        <w:rPr/>
      </w:pPr>
      <w:r>
        <w:rPr/>
        <w:t> </w:t>
      </w:r>
    </w:p>
    <w:p>
      <w:pPr>
        <w:pStyle w:val="Normal"/>
        <w:rPr/>
      </w:pPr>
      <w:r>
        <w:rPr>
          <w:rStyle w:val="Bnr7pod"/>
        </w:rPr>
        <w:t xml:space="preserve">Article 2. </w:t>
      </w:r>
      <w:r>
        <w:rPr/>
        <w:t>La présente délibération est transmise au Service Extérieur d’Ath de la DGO3 – Service Public de Wallonie, à la Fondation Rurale de Wallonie, et à IDETA pour information et suite utile.</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N°8 : Commission Locale de Développement Rural : Rapport annuel 2025 : approbation</w:t>
      </w:r>
    </w:p>
    <w:p>
      <w:pPr>
        <w:pStyle w:val="Normal"/>
        <w:tabs>
          <w:tab w:val="clear" w:pos="709"/>
        </w:tabs>
        <w:spacing w:before="0" w:after="0"/>
        <w:jc w:val="both"/>
        <w:rPr>
          <w:rFonts w:ascii="Calibri" w:hAnsi="Calibri"/>
        </w:rPr>
      </w:pPr>
      <w:r>
        <w:rPr>
          <w:rFonts w:ascii="Calibri" w:hAnsi="Calibri"/>
        </w:rPr>
      </w:r>
    </w:p>
    <w:p>
      <w:pPr>
        <w:pStyle w:val="Normal"/>
        <w:rPr/>
      </w:pPr>
      <w:r>
        <w:rPr>
          <w:rStyle w:val="Bnr1pod"/>
        </w:rPr>
        <w:t>Monsieur Vanhonacker </w:t>
      </w:r>
    </w:p>
    <w:p>
      <w:pPr>
        <w:pStyle w:val="Normal"/>
        <w:rPr/>
      </w:pPr>
      <w:r>
        <w:rPr/>
        <w:t>Monsieur le Président, chers collègues conseillers,</w:t>
      </w:r>
    </w:p>
    <w:p>
      <w:pPr>
        <w:pStyle w:val="Normal"/>
        <w:rPr/>
      </w:pPr>
      <w:r>
        <w:rPr/>
        <w:t>Aujourd’hui, nous examinons le rapport annuel de la Commission locale de développement rural. Mais au-delà de ce rapport, il est essentiel de poser une question simple : qu’est-ce qui a réellement été réalisé depuis 2018 ? Je tiens à souligner que je ne m’exprime pas seulement au nom de la minorité, mais aussi au nom des membres de la Commission dont je fais partie. Ce que j’expose ici reflète la réalité telle qu’elle est vécue au sein de la Commission. Ces constats peuvent difficilement être contredits. À l’époque, une série d’actions ambitieuses ont été annoncées. Sur le papier, tout cela semblait prometteur. Mais huit ans plus tard, je dois dire qu’il y a beaucoup de choses qui n’ont pas été réalisées.</w:t>
      </w:r>
    </w:p>
    <w:p>
      <w:pPr>
        <w:pStyle w:val="Normal"/>
        <w:rPr/>
      </w:pPr>
      <w:r>
        <w:rPr/>
        <w:t>Malgré cela, on m’a déjà reproché par le passé de vouloir aller trop vite. Je peux le comprendre. Dans ma vie professionnelle, lorsque je travaillais encore, j’étais intermédiaire entre ceux qui décidaient (l’État), les architectes et les entrepreneurs. Je sais donc très bien que cela prend du temps. Néanmoins, cela ne doit pas servir d’excuse pour laisser les choses se dérouler sans contrôle. Une certaine rigueur est nécessaire, et celle-ci doit venir du collège.</w:t>
      </w:r>
    </w:p>
    <w:p>
      <w:pPr>
        <w:pStyle w:val="Normal"/>
        <w:rPr/>
      </w:pPr>
      <w:r>
        <w:rPr/>
        <w:t>Soyons clairs : si nous devions attribuer un point pour chaque projet réellement réalisé, notre commune obtiendrait une note insuffisante. Nous ne réussirions pas, et c’est là la réalité. Pendant ce temps, les citoyens engagés, les bénévoles, ceux qui veulent faire avancer leur village, se découragent. Ils se lassent d’attendre, année après année, sans résultats visibles. Cela demande du courage de se remettre véritablement en question. Si la majorité osait le faire, elle constaterait elle-même qu’il est nécessaire de changer sa manière de procéder, notamment en impliquant davantage les forces actives dans les projets.</w:t>
      </w:r>
    </w:p>
    <w:p>
      <w:pPr>
        <w:pStyle w:val="Normal"/>
        <w:rPr/>
      </w:pPr>
      <w:r>
        <w:rPr/>
        <w:t>Un exemple concret : la création d’une crèche. À chaque fois, nous entendons : « nous y travaillons », « cela arrive bientôt », « les plans existent ». Mais pourquoi ces plans ne sont-ils pas présentés lors des moments de concertation ? Pourquoi ne pas montrer concrètement où nous en sommes ? Dans la situation actuelle, il se dégage l’impression — et je ne suis pas le seul à le penser — que rien n’avance. Cette impression est peut-être fausse, mais elle est nourrie par la manière dont les choses sont menées aujourd’hui. C’est pourquoi il est essentiel d’augmenter la participation. En travaillant de manière plus transparente et en impliquant réellement les personnes, la confiance peut être restaurée. Et cette confiance est indispensable pour avancer ensemble. Refuser de travailler avec des personnes motivées simplement parce qu’elles n’appartiennent pas à la majorité, c’est se priver délibérément d’énergie, de compétences et d’idées. Aujourd’hui, il est temps de changer de méthode. Il est temps d’ouvrir les projets, d’impliquer réellement toutes les personnes qui souhaitent s’engager et, surtout, de passer enfin des paroles aux actes. Après huit ans, nos citoyens ne demandent plus de promesses : ils exigent des résultats. Je vous remercie pour votre attention.</w:t>
      </w:r>
    </w:p>
    <w:p>
      <w:pPr>
        <w:pStyle w:val="Normal"/>
        <w:rPr/>
      </w:pPr>
      <w:r>
        <w:rPr>
          <w:rStyle w:val="Bnr1pod"/>
        </w:rPr>
        <w:t>Monsieur le Bourgmestre</w:t>
      </w:r>
    </w:p>
    <w:p>
      <w:pPr>
        <w:pStyle w:val="Normal"/>
        <w:rPr/>
      </w:pPr>
      <w:r>
        <w:rPr/>
        <w:t>Je vais vous répondre. Tout d’abord, je n’ai pas de leçons à recevoir de votre part en matière de gestion. Cela étant dit, lorsque vous dites qu’il faut travailler avec tout le monde, je vous rejoins. Après 19 ans à la tête de la commune, en tant que bourgmestre et échevin, je pense avoir suffisamment d’expérience pour juger. Nous avons toujours été à l’écoute de la population. Concernant la crèche, il est vrai qu’il n’y a peut-être pas eu suffisamment de retour d’information. Nous pouvons en faire davantage. Toutefois, je tiens à préciser que ce projet ne fait plus partie de la convention de développement rural. Au départ, il s’agissait d’une maison multiservices comprenant une crèche. Le projet était subsidié à 80 %. Mais nous avons été confrontés à une forte augmentation des coûts : initialement estimé entre 700 000 et 800 000 euros, le projet est finalement monté à 2 millions d’euros. La répartition des coûts s’est donc inversée : la part communale est passée à environ 70 %, ce qui mettait dangereusement en péril les finances communales. La majorité a fait un choix : réaliser des projets, oui, mais sans porter atteinte au pouvoir d’achat des citoyens. Nous ne pouvions pas prendre le risque d’endetter la commune de manière excessive. C’est pourquoi le projet a été retiré du développement rural et réorienté vers une solution alternative : la réaffectation de l’atelier rural en crèche, à un coût nettement inférieur. Aujourd’hui, le projet avance. La demande de permis sera introduite prochainement. Des contacts préalables ont déjà été pris avec les services d’urbanisme pour sécuriser le dossier. Le projet n’est donc pas abandonné, bien au contraire.</w:t>
      </w:r>
    </w:p>
    <w:p>
      <w:pPr>
        <w:pStyle w:val="Normal"/>
        <w:rPr/>
      </w:pPr>
      <w:r>
        <w:rPr>
          <w:rStyle w:val="Bnr1pod"/>
        </w:rPr>
        <w:t>Monsieur Vanhonacker </w:t>
      </w:r>
    </w:p>
    <w:p>
      <w:pPr>
        <w:pStyle w:val="Normal"/>
        <w:rPr/>
      </w:pPr>
      <w:r>
        <w:rPr/>
        <w:t>Je comprends votre position, mais il faut aussi être clair avec les citoyens. S’ils proposent des projets irréalistes, il faut oser le dire et les orienter vers des projets plus simples et réalisables.</w:t>
      </w:r>
    </w:p>
    <w:p>
      <w:pPr>
        <w:pStyle w:val="Normal"/>
        <w:rPr/>
      </w:pPr>
      <w:r>
        <w:rPr>
          <w:rStyle w:val="Bnr1pod"/>
        </w:rPr>
        <w:t>Madame Verschuere</w:t>
      </w:r>
    </w:p>
    <w:p>
      <w:pPr>
        <w:pStyle w:val="Normal"/>
        <w:rPr/>
      </w:pPr>
      <w:r>
        <w:rPr/>
        <w:t>Le projet initial était bien estimé à 800 000 euros, subsidié à 80 %, avec une part communale d’environ 230 000 euros. Le plan de développement rural de 2017 comprenait plusieurs projets proposés par les citoyens : maison multiservices, crèche, aménagement du centre du village, logements pour seniors, etc. La procédure est lourde et le Covid a également causé du retard. Le projet de maison multiservices a été lancé en premier, mais les coûts ont explosé, ce qui a contraint la commune à mettre d’autres projets, comme la résidence pour seniors, en attente parce que notre capacité d'emprunt est limité. Nous devons respecter une balise d'emprunts. En l'état actuel des choses le projet de la crèche a été sorti de la maison Multiservices et le projet de la maison séniors existe toujours : on doit juste revoir le projet en MB pour prévoir l’écriture budgétaire.</w:t>
      </w:r>
    </w:p>
    <w:p>
      <w:pPr>
        <w:pStyle w:val="Normal"/>
        <w:rPr/>
      </w:pPr>
      <w:r>
        <w:rPr>
          <w:rStyle w:val="Bnr1pod"/>
        </w:rPr>
        <w:t>Monsieur le Bourgmestre</w:t>
      </w:r>
    </w:p>
    <w:p>
      <w:pPr>
        <w:pStyle w:val="Normal"/>
        <w:rPr/>
      </w:pPr>
      <w:r>
        <w:rPr/>
        <w:t>Il faut également préciser que la Région wallonne a plafonné son intervention à 600 000 euros dans ce projet et, quel que soit le coût final. Cela a fortement déséquilibré le financement et moi je ne vais prendre le risque de mettre l'équilibre financier de la commune à mal pour ce projet. Vous savez en 25 ans à la commune, je n'ai jamais vu de projet avec une part communale aussi importante. </w:t>
      </w:r>
    </w:p>
    <w:p>
      <w:pPr>
        <w:pStyle w:val="Normal"/>
        <w:rPr/>
      </w:pPr>
      <w:r>
        <w:rPr>
          <w:rStyle w:val="Bnr1pod"/>
        </w:rPr>
        <w:t>Madame Gumejom</w:t>
      </w:r>
    </w:p>
    <w:p>
      <w:pPr>
        <w:pStyle w:val="Normal"/>
        <w:rPr/>
      </w:pPr>
      <w:r>
        <w:rPr/>
        <w:t>Je voulais aussi signaler par rapport aussi à l'interpellation de Marnix. En tant que politique, je trouve qu'on ne peut pas dire simplement aux citoyens qui sont impliqués dans la commission de développement rural, étant donné que le projet de crèchene fait plus partie du CLDR, il ne leur appartient plus. Ils ont porté ce projet, même si ça ne s'est pas réalisén et ils ont le droit d'être informé.</w:t>
      </w:r>
    </w:p>
    <w:p>
      <w:pPr>
        <w:pStyle w:val="Normal"/>
        <w:rPr/>
      </w:pPr>
      <w:r>
        <w:rPr>
          <w:rStyle w:val="Bnr1pod"/>
        </w:rPr>
        <w:t>Monsieur le Bourgmestre</w:t>
      </w:r>
    </w:p>
    <w:p>
      <w:pPr>
        <w:pStyle w:val="Normal"/>
        <w:rPr/>
      </w:pPr>
      <w:r>
        <w:rPr/>
        <w:t>Je pense que chaque membre est au courant de l'évolution du dossier. Une étude est en cours.</w:t>
      </w:r>
    </w:p>
    <w:p>
      <w:pPr>
        <w:pStyle w:val="Normal"/>
        <w:rPr/>
      </w:pPr>
      <w:r>
        <w:rPr>
          <w:rStyle w:val="Bnr1pod"/>
        </w:rPr>
        <w:t>Madame Verschuere </w:t>
      </w:r>
    </w:p>
    <w:p>
      <w:pPr>
        <w:pStyle w:val="Normal"/>
        <w:rPr/>
      </w:pPr>
      <w:r>
        <w:rPr/>
        <w:t>On en parle chaque réunion, il n'y a pas de secret. </w:t>
      </w:r>
    </w:p>
    <w:p>
      <w:pPr>
        <w:pStyle w:val="Normal"/>
        <w:rPr/>
      </w:pPr>
      <w:r>
        <w:rPr>
          <w:rStyle w:val="Bnr1pod"/>
        </w:rPr>
        <w:t>Monsieur le Bourgmestre</w:t>
      </w:r>
    </w:p>
    <w:p>
      <w:pPr>
        <w:pStyle w:val="Normal"/>
        <w:rPr/>
      </w:pPr>
      <w:r>
        <w:rPr/>
        <w:t>Par rapport au projet initial, je comprends l'interpellation de Marnix, nous ne sommes pas la seule commune à avoir été contrainte de revoir tout notre projet et je peux comprendre que pour les personnes qui se sont investies, ce n'est jamais agréable.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w:t>
      </w:r>
    </w:p>
    <w:p>
      <w:pPr>
        <w:pStyle w:val="Bnr3pod"/>
        <w:rPr/>
      </w:pPr>
      <w:r>
        <w:rPr/>
        <w:t>Vu le Décret du Conseil régional wallon du 11 avril 2014 relatif au développement rural ;</w:t>
      </w:r>
    </w:p>
    <w:p>
      <w:pPr>
        <w:pStyle w:val="Bnr3pod"/>
        <w:rPr/>
      </w:pPr>
      <w:r>
        <w:rPr/>
        <w:t>Vu l’Arrêté du Gouvernement wallon du 12 juin 2014 portant exécution dudit décret ;</w:t>
      </w:r>
    </w:p>
    <w:p>
      <w:pPr>
        <w:pStyle w:val="Bnr3pod"/>
        <w:rPr/>
      </w:pPr>
      <w:r>
        <w:rPr/>
        <w:t>Vu la circulaire ministérielle du 10 septembre 2021 relative à la mise en œuvre des programmes communaux de développement rural ;</w:t>
      </w:r>
    </w:p>
    <w:p>
      <w:pPr>
        <w:pStyle w:val="Bnr3pod"/>
        <w:rPr/>
      </w:pPr>
      <w:r>
        <w:rPr/>
        <w:t>Vu les comptes rendus de réunions de la Commission Locale de Développement Rural en date du 13 mai 2025 et du 09 septembre 2025 et du Groupe Environnement en date du 11 décembre 2025 ;</w:t>
      </w:r>
    </w:p>
    <w:p>
      <w:pPr>
        <w:pStyle w:val="Bnr3pod"/>
        <w:rPr/>
      </w:pPr>
      <w:r>
        <w:rPr/>
        <w:t>Vu la décision du Conseil Communal en séance du 02 avril 2026 d’approuver la nouvelle composition des membres de ladite commission ;</w:t>
      </w:r>
    </w:p>
    <w:p>
      <w:pPr>
        <w:pStyle w:val="Bnr3pod"/>
        <w:rPr/>
      </w:pPr>
      <w:r>
        <w:rPr/>
        <w:t>Vu le rapport annuel 2025 ;</w:t>
      </w:r>
    </w:p>
    <w:p>
      <w:pPr>
        <w:pStyle w:val="Bnr3pod"/>
        <w:rPr/>
      </w:pPr>
      <w:r>
        <w:rPr/>
        <w:t>Considérant que ce rapport a été approuvé le 10 février 2026 par ladite Commission;</w:t>
      </w:r>
    </w:p>
    <w:p>
      <w:pPr>
        <w:pStyle w:val="Normal"/>
        <w:rPr/>
      </w:pPr>
      <w:r>
        <w:rPr>
          <w:rStyle w:val="Bnr1pod"/>
        </w:rPr>
        <w:t>DECIDE: par 8 voix POUR et 4 ABSTENTIONS (Mme Guemjom, Mme Maes, Mr Vanhonacker, Mme Hernould) </w:t>
      </w:r>
    </w:p>
    <w:p>
      <w:pPr>
        <w:pStyle w:val="Normal"/>
        <w:rPr/>
      </w:pPr>
      <w:r>
        <w:rPr>
          <w:rStyle w:val="Bnr7pod"/>
        </w:rPr>
        <w:t xml:space="preserve">Article 1er </w:t>
      </w:r>
      <w:r>
        <w:rPr/>
        <w:t>: D’approuver le rapport annuel 2025 de la Commission Locale de Développement Rural</w:t>
      </w:r>
    </w:p>
    <w:p>
      <w:pPr>
        <w:pStyle w:val="Normal"/>
        <w:rPr/>
      </w:pPr>
      <w:r>
        <w:rPr>
          <w:rStyle w:val="Bnr7pod"/>
        </w:rPr>
        <w:t xml:space="preserve">Article 2 </w:t>
      </w:r>
      <w:r>
        <w:rPr/>
        <w:t>: De charger le service de sa transmission par e-mail</w:t>
      </w:r>
    </w:p>
    <w:p>
      <w:pPr>
        <w:pStyle w:val="PodBulletItem"/>
        <w:numPr>
          <w:ilvl w:val="0"/>
          <w:numId w:val="27"/>
        </w:numPr>
        <w:tabs>
          <w:tab w:val="clear" w:pos="709"/>
          <w:tab w:val="left" w:pos="0" w:leader="none"/>
        </w:tabs>
        <w:ind w:left="922" w:hanging="461"/>
        <w:rPr/>
      </w:pPr>
      <w:r>
        <w:rPr/>
        <w:t>A la Direction du Développement Rural via le formulaire en ligne sur le Guichet des Pouvoirs Locaux - Guichet des Pouvoirs locaux (wallonie.be)</w:t>
      </w:r>
    </w:p>
    <w:p>
      <w:pPr>
        <w:pStyle w:val="PodBulletItem"/>
        <w:numPr>
          <w:ilvl w:val="0"/>
          <w:numId w:val="27"/>
        </w:numPr>
        <w:tabs>
          <w:tab w:val="clear" w:pos="709"/>
          <w:tab w:val="left" w:pos="0" w:leader="none"/>
        </w:tabs>
        <w:ind w:left="922" w:hanging="461"/>
        <w:rPr/>
      </w:pPr>
      <w:r>
        <w:rPr/>
        <w:t>Au Pôle Aménagement du territoire : pole.at@cesewallonie.be</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b/>
          <w:b/>
          <w:bCs/>
          <w:u w:val="single"/>
        </w:rPr>
      </w:pPr>
      <w:r>
        <w:rPr>
          <w:rFonts w:ascii="Calibri" w:hAnsi="Calibri"/>
          <w:b/>
          <w:bCs/>
          <w:u w:val="single"/>
        </w:rPr>
        <w:t>SEANCES A HUIS CLOS</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rPr>
      </w:pPr>
      <w:r>
        <w:rPr>
          <w:rFonts w:ascii="Calibri" w:hAnsi="Calibri"/>
          <w:b/>
          <w:bCs/>
        </w:rPr>
        <w:t>OBJET N°9 : Huis-clos - AVIQ - Obligation d'emploi de travailleurs handicapés au sein des Pouvoirs locaux, rapport exercice 2025; prise d'acte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Considérant l'arrêté du Gouvernement wallon du 07 février 2013 relatif à l'emploi de travailleurs handicapés dans les provinces, les communes, les centres publics d'action sociale et les associations de services publics;</w:t>
      </w:r>
    </w:p>
    <w:p>
      <w:pPr>
        <w:pStyle w:val="Normal"/>
        <w:rPr/>
      </w:pPr>
      <w:r>
        <w:rPr/>
        <w:t>Attendu que les Administrations publiques établissent tous les deux ans, pour le 31 mars au plus tard, en collaboration avec l'AWIPH, un rapport relatif à l'emploi des travailleurs handicapés au 31 décembre de l'année précédente;</w:t>
      </w:r>
    </w:p>
    <w:p>
      <w:pPr>
        <w:pStyle w:val="Normal"/>
        <w:rPr/>
      </w:pPr>
      <w:r>
        <w:rPr/>
        <w:t>Attendu que le nombre d'effectifs est celui déclaré au niveau de l'ONSS;</w:t>
      </w:r>
    </w:p>
    <w:p>
      <w:pPr>
        <w:pStyle w:val="Normal"/>
        <w:rPr/>
      </w:pPr>
      <w:r>
        <w:rPr/>
        <w:t>Attendu que ce rapport doit être communqiué au Conseil communal, au Conseil de l'action sociale ou au Conseil provincial, ou à l'ensemble des conseils concernés par une association de services publics;</w:t>
      </w:r>
    </w:p>
    <w:p>
      <w:pPr>
        <w:pStyle w:val="Normal"/>
        <w:rPr/>
      </w:pPr>
      <w:r>
        <w:rPr/>
        <w:t>Attendu que sur base de ce rapport l'AWIPH établi un rapport global pour le 30 juin et le communique aux Ministres ayant les affaires intérieures et l'Action sociale dans leurs attributions, qui en informent le Gouvernement;</w:t>
      </w:r>
    </w:p>
    <w:p>
      <w:pPr>
        <w:pStyle w:val="Normal"/>
        <w:rPr/>
      </w:pPr>
      <w:r>
        <w:rPr/>
        <w:t>Attendu que ce rapport est ensuite transmis par le Gouvernement au Conseil supérieur des Villes et communes et à la Commission wallonne des personnes handicapées qui sont invités à formuler des recommandations pour l'intégration professionnelle des travailleurs handicapés dans les Administrations publiques;</w:t>
      </w:r>
    </w:p>
    <w:p>
      <w:pPr>
        <w:pStyle w:val="Normal"/>
        <w:rPr/>
      </w:pPr>
      <w:r>
        <w:rPr/>
        <w:t>Attendu que ce rapport est ensuite publié sur le site internet de l'AWIPH;</w:t>
      </w:r>
    </w:p>
    <w:p>
      <w:pPr>
        <w:pStyle w:val="Normal"/>
        <w:rPr/>
      </w:pPr>
      <w:r>
        <w:rPr/>
        <w:t>Vu le Code de la démocratie et de la décentralisation locale;</w:t>
      </w:r>
    </w:p>
    <w:p>
      <w:pPr>
        <w:pStyle w:val="Normal"/>
        <w:rPr/>
      </w:pPr>
      <w:r>
        <w:rPr/>
        <w:t>DECIDE De prendre acte dudit rapport et de le communiquer aux instances concernées.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rPr>
      </w:pPr>
      <w:r>
        <w:rPr>
          <w:rFonts w:ascii="Calibri" w:hAnsi="Calibri"/>
          <w:b/>
          <w:bCs/>
        </w:rPr>
        <w:t>OBJET N°10 : Huis-clos : Personnel communal - Mise à la pension;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Bnr3pod"/>
        <w:rPr/>
      </w:pPr>
      <w:r>
        <w:rPr/>
        <w:t>Attendu que Monsieur DEFFRANNE Marc, domicilié Rue la Cavée n°2 – 7750 Mont de l’Enclus, travaille au sein de l’Administration communale en qualité d’ouvrier communal depuis le 18 octobre 2008 ;</w:t>
      </w:r>
    </w:p>
    <w:p>
      <w:pPr>
        <w:pStyle w:val="Bnr3pod"/>
        <w:rPr/>
      </w:pPr>
      <w:r>
        <w:rPr/>
        <w:t>Attendu que Monsieur DEFFRANNE Marc a été nommé à titre définitif statutaire, en qualité d’ouvrier communal par le conseil communal en date du 14 septembre 2023 (sans période de stage), entrée en fonction le 01 octobre 2023 ;     </w:t>
      </w:r>
    </w:p>
    <w:p>
      <w:pPr>
        <w:pStyle w:val="Bnr3pod"/>
        <w:rPr/>
      </w:pPr>
      <w:r>
        <w:rPr/>
        <w:t>Attendu qu’au 01/05/2027 Monsieur DEFFRANNE Marc, peut prétendre à la mise à la pension au sein du Secteur public ;</w:t>
      </w:r>
    </w:p>
    <w:p>
      <w:pPr>
        <w:pStyle w:val="Bnr3pod"/>
        <w:rPr/>
      </w:pPr>
      <w:r>
        <w:rPr/>
        <w:t>Vu le courrier daté du 12 mars 2026 émanant de Monsieur DEFFRANNE Marc souhaitant l’inscription de ce point au prochain conseil communal ;</w:t>
      </w:r>
    </w:p>
    <w:p>
      <w:pPr>
        <w:pStyle w:val="Bnr3pod"/>
        <w:rPr/>
      </w:pPr>
      <w:r>
        <w:rPr/>
        <w:t>Vu nos statuts administratif, pécuniaire et règlement de travail ;</w:t>
      </w:r>
    </w:p>
    <w:p>
      <w:pPr>
        <w:pStyle w:val="Bnr3pod"/>
        <w:rPr/>
      </w:pPr>
      <w:r>
        <w:rPr/>
        <w:t>Vu le Code de la démocratie locale et de la décentralisation ;</w:t>
      </w:r>
    </w:p>
    <w:p>
      <w:pPr>
        <w:pStyle w:val="Bnr3pod"/>
        <w:rPr/>
      </w:pPr>
      <w:r>
        <w:rPr/>
        <w:t>DECIDE : à l'unanimité</w:t>
      </w:r>
    </w:p>
    <w:p>
      <w:pPr>
        <w:pStyle w:val="Bnr3pod"/>
        <w:rPr/>
      </w:pPr>
      <w:r>
        <w:rPr>
          <w:rStyle w:val="Bnr2pod"/>
        </w:rPr>
        <w:t>Article premier :</w:t>
      </w:r>
      <w:r>
        <w:rPr/>
        <w:t>       De marquer notre accord sur ladite demande et d’entamer les démarches administratives pour la mise à la pension de Monsieur DEFFRANNE Marc, ouvrier communal</w:t>
      </w:r>
    </w:p>
    <w:p>
      <w:pPr>
        <w:pStyle w:val="Bnr3pod"/>
        <w:rPr/>
      </w:pPr>
      <w:r>
        <w:rPr/>
        <w:t xml:space="preserve">à la date du </w:t>
      </w:r>
      <w:r>
        <w:rPr>
          <w:rStyle w:val="Bnr1pod"/>
        </w:rPr>
        <w:t>01 mai 2027</w:t>
      </w:r>
      <w:r>
        <w:rPr/>
        <w:t> ;</w:t>
      </w:r>
    </w:p>
    <w:p>
      <w:pPr>
        <w:pStyle w:val="Bnr3pod"/>
        <w:rPr/>
      </w:pPr>
      <w:r>
        <w:rPr>
          <w:rStyle w:val="Bnr2pod"/>
        </w:rPr>
        <w:t xml:space="preserve">Art.2. : </w:t>
      </w:r>
      <w:r>
        <w:rPr/>
        <w:t>          De transmettre copie de la présente :</w:t>
      </w:r>
    </w:p>
    <w:p>
      <w:pPr>
        <w:pStyle w:val="Bnr3pod"/>
        <w:rPr/>
      </w:pPr>
      <w:r>
        <w:rPr/>
        <w:t> </w:t>
      </w:r>
    </w:p>
    <w:p>
      <w:pPr>
        <w:pStyle w:val="Bnr6pod"/>
        <w:numPr>
          <w:ilvl w:val="0"/>
          <w:numId w:val="28"/>
        </w:numPr>
        <w:tabs>
          <w:tab w:val="clear" w:pos="709"/>
          <w:tab w:val="left" w:pos="0" w:leader="none"/>
        </w:tabs>
        <w:ind w:left="922" w:hanging="461"/>
        <w:rPr/>
      </w:pPr>
      <w:r>
        <w:rPr/>
        <w:t>à l’intéressé</w:t>
      </w:r>
    </w:p>
    <w:p>
      <w:pPr>
        <w:pStyle w:val="Bnr6pod"/>
        <w:numPr>
          <w:ilvl w:val="0"/>
          <w:numId w:val="28"/>
        </w:numPr>
        <w:tabs>
          <w:tab w:val="clear" w:pos="709"/>
          <w:tab w:val="left" w:pos="0" w:leader="none"/>
        </w:tabs>
        <w:ind w:left="922" w:hanging="461"/>
        <w:rPr/>
      </w:pPr>
      <w:r>
        <w:rPr/>
        <w:t>au sfpd.fgov.be – Service Fédéral des Pensions </w:t>
      </w:r>
    </w:p>
    <w:p>
      <w:pPr>
        <w:pStyle w:val="Normal"/>
        <w:rPr/>
      </w:pPr>
      <w:r>
        <w:rPr/>
        <w:t>à Monsieur le Receveur régional pour suite voulue</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rPr>
      </w:pPr>
      <w:r>
        <w:rPr>
          <w:rFonts w:ascii="Calibri" w:hAnsi="Calibri"/>
          <w:b/>
          <w:bCs/>
        </w:rPr>
        <w:t>OBJET N°11 : Huis clos - Personnel communal : Mise à la pension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Attendu que Madame DELAUNOY Christelle, domiciliée Rue Provinciale n°264 - 7760 Escanaffles travaille au sein de l’Administration communale en qualité d’agent administratif  depuis le 01 février 1987 ;</w:t>
      </w:r>
    </w:p>
    <w:p>
      <w:pPr>
        <w:pStyle w:val="Normal"/>
        <w:rPr/>
      </w:pPr>
      <w:r>
        <w:rPr/>
        <w:t>Attendu que Madame DELAUNOY Christelle, a été nommée à titre définitif statutaire, en qualité d’agent administratif le 01/01/2001 (période de stage comprise);                             </w:t>
      </w:r>
    </w:p>
    <w:p>
      <w:pPr>
        <w:pStyle w:val="Normal"/>
        <w:rPr/>
      </w:pPr>
      <w:r>
        <w:rPr/>
        <w:t>Attendu qu’au 01/05/2027 Madame DELAUNOY Christelle peut prétendre à la mise à la pension au sein du Secteur public ;</w:t>
      </w:r>
    </w:p>
    <w:p>
      <w:pPr>
        <w:pStyle w:val="Normal"/>
        <w:rPr/>
      </w:pPr>
      <w:r>
        <w:rPr/>
        <w:t>Vu le courrier daté du 17 03 2026 de Madame DELAUNOY Ch. souhaitant l’inscription de ce point au prochain conseil communal ;</w:t>
      </w:r>
    </w:p>
    <w:p>
      <w:pPr>
        <w:pStyle w:val="Normal"/>
        <w:rPr/>
      </w:pPr>
      <w:r>
        <w:rPr/>
        <w:t>Vu nos statuts administratif, pécuniaire et règlement de travail ;</w:t>
      </w:r>
    </w:p>
    <w:p>
      <w:pPr>
        <w:pStyle w:val="Normal"/>
        <w:rPr/>
      </w:pPr>
      <w:r>
        <w:rPr/>
        <w:t>Vu le Code de la démocratie locale et de la décentralisation ;</w:t>
      </w:r>
    </w:p>
    <w:p>
      <w:pPr>
        <w:pStyle w:val="Normal"/>
        <w:rPr/>
      </w:pPr>
      <w:r>
        <w:rPr/>
        <w:t>DECIDE : à l'unanimité</w:t>
      </w:r>
    </w:p>
    <w:p>
      <w:pPr>
        <w:pStyle w:val="Normal"/>
        <w:rPr/>
      </w:pPr>
      <w:r>
        <w:rPr>
          <w:rStyle w:val="Bnr2pod"/>
        </w:rPr>
        <w:t>Article premier :</w:t>
      </w:r>
      <w:r>
        <w:rPr/>
        <w:t xml:space="preserve">       De marquer notre accord sur ladite demande et d’entamer les démarches administratives pour la mise à la pension de Madame DELAUNOY Christelle, agent administratif, à la date du </w:t>
      </w:r>
      <w:r>
        <w:rPr>
          <w:rStyle w:val="Bnr1pod"/>
        </w:rPr>
        <w:t>01 mai 2027</w:t>
      </w:r>
      <w:r>
        <w:rPr/>
        <w:t> ;</w:t>
      </w:r>
    </w:p>
    <w:p>
      <w:pPr>
        <w:pStyle w:val="Normal"/>
        <w:rPr/>
      </w:pPr>
      <w:r>
        <w:rPr>
          <w:rStyle w:val="Bnr2pod"/>
        </w:rPr>
        <w:t xml:space="preserve">Art.2. : </w:t>
      </w:r>
      <w:r>
        <w:rPr/>
        <w:t>          De transmettre copie de la présente :</w:t>
      </w:r>
    </w:p>
    <w:p>
      <w:pPr>
        <w:pStyle w:val="Normal"/>
        <w:rPr/>
      </w:pPr>
      <w:r>
        <w:rPr/>
        <w:t> </w:t>
      </w:r>
    </w:p>
    <w:p>
      <w:pPr>
        <w:pStyle w:val="PodBulletItem"/>
        <w:numPr>
          <w:ilvl w:val="0"/>
          <w:numId w:val="29"/>
        </w:numPr>
        <w:tabs>
          <w:tab w:val="clear" w:pos="709"/>
          <w:tab w:val="left" w:pos="0" w:leader="none"/>
        </w:tabs>
        <w:ind w:left="922" w:hanging="461"/>
        <w:rPr/>
      </w:pPr>
      <w:r>
        <w:rPr/>
        <w:t>à l’intéressée</w:t>
      </w:r>
    </w:p>
    <w:p>
      <w:pPr>
        <w:pStyle w:val="PodBulletItem"/>
        <w:numPr>
          <w:ilvl w:val="0"/>
          <w:numId w:val="29"/>
        </w:numPr>
        <w:tabs>
          <w:tab w:val="clear" w:pos="709"/>
          <w:tab w:val="left" w:pos="0" w:leader="none"/>
        </w:tabs>
        <w:ind w:left="922" w:hanging="461"/>
        <w:rPr/>
      </w:pPr>
      <w:r>
        <w:rPr/>
        <w:t>au sfpd.fgov.be – Service Fédéral des Pensions </w:t>
      </w:r>
    </w:p>
    <w:p>
      <w:pPr>
        <w:pStyle w:val="PodBulletItem"/>
        <w:numPr>
          <w:ilvl w:val="0"/>
          <w:numId w:val="29"/>
        </w:numPr>
        <w:tabs>
          <w:tab w:val="clear" w:pos="709"/>
          <w:tab w:val="left" w:pos="0" w:leader="none"/>
        </w:tabs>
        <w:ind w:left="922" w:hanging="461"/>
        <w:rPr/>
      </w:pPr>
      <w:r>
        <w:rPr/>
        <w:t>à Monsieur le Receveur régional pour suite voulue.</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rPr>
          <w:rFonts w:ascii="Calibri" w:hAnsi="Calibri"/>
        </w:rPr>
      </w:pPr>
      <w:r>
        <w:rPr>
          <w:rFonts w:ascii="Calibri" w:hAnsi="Calibri"/>
        </w:rPr>
      </w:r>
    </w:p>
    <w:tbl>
      <w:tblPr>
        <w:tblW w:w="5000" w:type="pct"/>
        <w:jc w:val="right"/>
        <w:tblInd w:w="0" w:type="dxa"/>
        <w:tblLayout w:type="fixed"/>
        <w:tblCellMar>
          <w:top w:w="55" w:type="dxa"/>
          <w:left w:w="55" w:type="dxa"/>
          <w:bottom w:w="55" w:type="dxa"/>
          <w:right w:w="55" w:type="dxa"/>
        </w:tblCellMar>
      </w:tblPr>
      <w:tblGrid>
        <w:gridCol w:w="4699"/>
        <w:gridCol w:w="4707"/>
      </w:tblGrid>
      <w:tr>
        <w:trPr/>
        <w:tc>
          <w:tcPr>
            <w:tcW w:w="9406" w:type="dxa"/>
            <w:gridSpan w:val="2"/>
            <w:tcBorders/>
          </w:tcPr>
          <w:p>
            <w:pPr>
              <w:pStyle w:val="Standard2"/>
              <w:keepNext w:val="true"/>
              <w:rPr>
                <w:rFonts w:ascii="Calibri" w:hAnsi="Calibri"/>
                <w:b/>
                <w:b/>
                <w:bCs/>
                <w:sz w:val="4"/>
                <w:szCs w:val="4"/>
              </w:rPr>
            </w:pPr>
            <w:r>
              <w:rPr>
                <w:rFonts w:ascii="Calibri" w:hAnsi="Calibri"/>
                <w:b/>
                <w:bCs/>
                <w:sz w:val="4"/>
                <w:szCs w:val="4"/>
              </w:rPr>
            </w:r>
          </w:p>
        </w:tc>
      </w:tr>
      <w:tr>
        <w:trPr/>
        <w:tc>
          <w:tcPr>
            <w:tcW w:w="4699" w:type="dxa"/>
            <w:tcBorders/>
          </w:tcPr>
          <w:p>
            <w:pPr>
              <w:pStyle w:val="Standard2"/>
              <w:keepNext w:val="true"/>
              <w:rPr>
                <w:rFonts w:ascii="Calibri" w:hAnsi="Calibri"/>
                <w:b/>
                <w:b/>
                <w:bCs/>
              </w:rPr>
            </w:pPr>
            <w:r>
              <w:rPr>
                <w:rFonts w:ascii="Calibri" w:hAnsi="Calibri"/>
                <w:b/>
                <w:bCs/>
              </w:rPr>
              <w:t>La Directrice générale,</w:t>
            </w:r>
          </w:p>
        </w:tc>
        <w:tc>
          <w:tcPr>
            <w:tcW w:w="4707" w:type="dxa"/>
            <w:tcBorders/>
          </w:tcPr>
          <w:p>
            <w:pPr>
              <w:pStyle w:val="Standard2"/>
              <w:jc w:val="right"/>
              <w:rPr>
                <w:rFonts w:ascii="Calibri" w:hAnsi="Calibri"/>
                <w:b/>
                <w:b/>
                <w:bCs/>
              </w:rPr>
            </w:pPr>
            <w:r>
              <w:rPr>
                <w:rFonts w:ascii="Calibri" w:hAnsi="Calibri"/>
                <w:b/>
                <w:bCs/>
              </w:rPr>
              <w:t>Le Bourgmestre - Président,</w:t>
            </w:r>
          </w:p>
        </w:tc>
      </w:tr>
      <w:tr>
        <w:trPr/>
        <w:tc>
          <w:tcPr>
            <w:tcW w:w="4699" w:type="dxa"/>
            <w:tcBorders/>
          </w:tcPr>
          <w:p>
            <w:pPr>
              <w:pStyle w:val="Standard2"/>
              <w:rPr>
                <w:rFonts w:ascii="Calibri" w:hAnsi="Calibri"/>
                <w:b/>
                <w:b/>
                <w:bCs/>
              </w:rPr>
            </w:pPr>
            <w:r>
              <w:rPr>
                <w:rFonts w:ascii="Calibri" w:hAnsi="Calibri"/>
                <w:b/>
                <w:bCs/>
              </w:rPr>
              <w:t>(s) Amélie BAUSIER</w:t>
            </w:r>
          </w:p>
        </w:tc>
        <w:tc>
          <w:tcPr>
            <w:tcW w:w="4707" w:type="dxa"/>
            <w:tcBorders/>
          </w:tcPr>
          <w:p>
            <w:pPr>
              <w:pStyle w:val="Standard2"/>
              <w:jc w:val="right"/>
              <w:rPr>
                <w:rFonts w:ascii="Calibri" w:hAnsi="Calibri"/>
                <w:b/>
                <w:b/>
                <w:bCs/>
              </w:rPr>
            </w:pPr>
            <w:r>
              <w:rPr>
                <w:rFonts w:ascii="Calibri" w:hAnsi="Calibri"/>
                <w:b/>
                <w:bCs/>
              </w:rPr>
              <w:t>(s) Jean-Pierre BOURDEAUD'HUY</w:t>
            </w:r>
          </w:p>
        </w:tc>
      </w:tr>
    </w:tbl>
    <w:p>
      <w:pPr>
        <w:pStyle w:val="Normal"/>
        <w:rPr>
          <w:rFonts w:ascii="Calibri" w:hAnsi="Calibri"/>
        </w:rPr>
      </w:pPr>
      <w:r>
        <w:rPr>
          <w:rFonts w:ascii="Calibri" w:hAnsi="Calibri"/>
        </w:rPr>
      </w:r>
    </w:p>
    <w:sectPr>
      <w:footerReference w:type="default" r:id="rId2"/>
      <w:type w:val="nextPage"/>
      <w:pgSz w:w="12240" w:h="15840"/>
      <w:pgMar w:left="1417" w:right="1417" w:gutter="0" w:header="0" w:top="540" w:footer="720" w:bottom="899"/>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default"/>
  </w:font>
  <w:font w:name="Tahom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OpenSymbol">
    <w:altName w:val="Arial Unicode MS"/>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right"/>
      <w:rPr>
        <w:rFonts w:ascii="Calibri" w:hAnsi="Calibri"/>
        <w:bdr w:val="single" w:sz="2" w:space="1" w:color="000000"/>
      </w:rPr>
    </w:pPr>
    <w:r>
      <w:rPr>
        <w:rFonts w:ascii="Calibri" w:hAnsi="Calibri"/>
        <w:bdr w:val="single" w:sz="2" w:space="1" w:color="000000"/>
      </w:rPr>
      <w:fldChar w:fldCharType="begin"/>
    </w:r>
    <w:r>
      <w:rPr>
        <w:bdr w:val="single" w:sz="2" w:space="1" w:color="000000"/>
        <w:rFonts w:ascii="Calibri" w:hAnsi="Calibri"/>
      </w:rPr>
      <w:instrText xml:space="preserve"> PAGE </w:instrText>
    </w:r>
    <w:r>
      <w:rPr>
        <w:bdr w:val="single" w:sz="2" w:space="1" w:color="000000"/>
        <w:rFonts w:ascii="Calibri" w:hAnsi="Calibri"/>
      </w:rPr>
      <w:fldChar w:fldCharType="separate"/>
    </w:r>
    <w:r>
      <w:rPr>
        <w:bdr w:val="single" w:sz="2" w:space="1" w:color="000000"/>
        <w:rFonts w:ascii="Calibri" w:hAnsi="Calibri"/>
      </w:rPr>
      <w:t>14</w:t>
    </w:r>
    <w:r>
      <w:rPr>
        <w:bdr w:val="single" w:sz="2" w:space="1" w:color="000000"/>
        <w:rFonts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432"/>
        </w:tabs>
        <w:ind w:left="432" w:hanging="432"/>
      </w:pPr>
    </w:lvl>
    <w:lvl w:ilvl="1">
      <w:start w:val="1"/>
      <w:pStyle w:val="Heading2"/>
      <w:numFmt w:val="none"/>
      <w:suff w:val="nothing"/>
      <w:lvlText w:val="%2"/>
      <w:lvlJc w:val="left"/>
      <w:pPr>
        <w:tabs>
          <w:tab w:val="num" w:pos="576"/>
        </w:tabs>
        <w:ind w:left="576" w:hanging="576"/>
      </w:pPr>
    </w:lvl>
    <w:lvl w:ilvl="2">
      <w:start w:val="1"/>
      <w:pStyle w:val="Heading3"/>
      <w:numFmt w:val="none"/>
      <w:suff w:val="nothing"/>
      <w:lvlText w:val="%3"/>
      <w:lvlJc w:val="left"/>
      <w:pPr>
        <w:tabs>
          <w:tab w:val="num" w:pos="720"/>
        </w:tabs>
        <w:ind w:left="720" w:hanging="720"/>
      </w:pPr>
    </w:lvl>
    <w:lvl w:ilvl="3">
      <w:start w:val="1"/>
      <w:pStyle w:val="Heading4"/>
      <w:numFmt w:val="none"/>
      <w:suff w:val="nothing"/>
      <w:lvlText w:val="%4"/>
      <w:lvlJc w:val="left"/>
      <w:pPr>
        <w:tabs>
          <w:tab w:val="num" w:pos="864"/>
        </w:tabs>
        <w:ind w:left="864" w:hanging="864"/>
      </w:pPr>
    </w:lvl>
    <w:lvl w:ilvl="4">
      <w:start w:val="1"/>
      <w:pStyle w:val="Heading5"/>
      <w:numFmt w:val="none"/>
      <w:suff w:val="nothing"/>
      <w:lvlText w:val="%5"/>
      <w:lvlJc w:val="left"/>
      <w:pPr>
        <w:tabs>
          <w:tab w:val="num" w:pos="1008"/>
        </w:tabs>
        <w:ind w:left="1008" w:hanging="1008"/>
      </w:pPr>
    </w:lvl>
    <w:lvl w:ilvl="5">
      <w:start w:val="1"/>
      <w:pStyle w:val="Heading6"/>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pStyle w:val="Heading9"/>
      <w:numFmt w:val="none"/>
      <w:suff w:val="nothing"/>
      <w:lvlText w:val="%9"/>
      <w:lvlJc w:val="left"/>
      <w:pPr>
        <w:tabs>
          <w:tab w:val="num" w:pos="1584"/>
        </w:tabs>
        <w:ind w:left="1584" w:hanging="1584"/>
      </w:pPr>
    </w:lvl>
  </w:abstractNum>
  <w:abstractNum w:abstractNumId="2">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3"/>
    <w:lvlOverride w:ilvl="0"/>
    <w:lvlOverride w:ilvl="1">
      <w:startOverride w:val="1"/>
    </w:lvlOverride>
  </w:num>
  <w:num w:numId="8">
    <w:abstractNumId w:val="8"/>
  </w:num>
  <w:num w:numId="9">
    <w:abstractNumId w:val="8"/>
    <w:lvlOverride w:ilvl="0"/>
    <w:lvlOverride w:ilvl="1"/>
    <w:lvlOverride w:ilvl="2">
      <w:startOverride w:val="1"/>
    </w:lvlOverride>
  </w:num>
  <w:num w:numId="10">
    <w:abstractNumId w:val="10"/>
  </w:num>
  <w:num w:numId="11">
    <w:abstractNumId w:val="11"/>
  </w:num>
  <w:num w:numId="12">
    <w:abstractNumId w:val="11"/>
    <w:lvlOverride w:ilvl="0"/>
    <w:lvlOverride w:ilvl="1"/>
    <w:lvlOverride w:ilvl="2">
      <w:startOverride w:val="2"/>
    </w:lvlOverride>
  </w:num>
  <w:num w:numId="13">
    <w:abstractNumId w:val="13"/>
  </w:num>
  <w:num w:numId="14">
    <w:abstractNumId w:val="14"/>
  </w:num>
  <w:num w:numId="15">
    <w:abstractNumId w:val="14"/>
    <w:lvlOverride w:ilvl="0"/>
    <w:lvlOverride w:ilvl="1">
      <w:startOverride w:val="2"/>
    </w:lvlOverride>
  </w:num>
  <w:num w:numId="16">
    <w:abstractNumId w:val="16"/>
  </w:num>
  <w:num w:numId="17">
    <w:abstractNumId w:val="17"/>
  </w:num>
  <w:num w:numId="18">
    <w:abstractNumId w:val="17"/>
    <w:lvlOverride w:ilvl="0"/>
    <w:lvlOverride w:ilvl="1">
      <w:startOverride w:val="3"/>
    </w:lvlOverride>
  </w:num>
  <w:num w:numId="19">
    <w:abstractNumId w:val="19"/>
  </w:num>
  <w:num w:numId="20">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21">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22">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23">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lvlOverride w:ilvl="1"/>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2"/>
    <w:lvlOverride w:ilvl="3">
      <w:lvl w:ilvl="3">
        <w:start w:val="1"/>
        <w:numFmt w:val="bullet"/>
        <w:lvlText w:val="◦"/>
        <w:lvlJc w:val="left"/>
        <w:pPr>
          <w:tabs>
            <w:tab w:val="num" w:pos="2304"/>
          </w:tabs>
          <w:ind w:left="2304" w:hanging="461"/>
        </w:pPr>
        <w:rPr>
          <w:rFonts w:ascii="OpenSymbol" w:hAnsi="OpenSymbol" w:cs="OpenSymbol" w:hint="default"/>
        </w:rPr>
      </w:lvl>
    </w:lvlOverride>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jc w:val="both"/>
    </w:pPr>
    <w:rPr>
      <w:rFonts w:ascii="Calibri" w:hAnsi="Calibri" w:eastAsia="Noto Serif CJK SC" w:cs="Lohit Devanagari"/>
      <w:color w:val="auto"/>
      <w:kern w:val="2"/>
      <w:sz w:val="22"/>
      <w:szCs w:val="24"/>
      <w:lang w:val="fr-FR"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Normal"/>
    <w:next w:val="Normal"/>
    <w:qFormat/>
    <w:pPr>
      <w:keepNext w:val="true"/>
      <w:numPr>
        <w:ilvl w:val="1"/>
        <w:numId w:val="1"/>
      </w:numPr>
      <w:spacing w:before="0" w:after="0"/>
      <w:ind w:left="-1106" w:right="1586" w:hanging="28"/>
      <w:jc w:val="both"/>
      <w:outlineLvl w:val="1"/>
    </w:pPr>
    <w:rPr>
      <w:rFonts w:eastAsia="Arial Unicode MS" w:cs="Arial Unicode MS"/>
      <w:sz w:val="28"/>
      <w:szCs w:val="20"/>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Normal"/>
    <w:next w:val="Normal"/>
    <w:qFormat/>
    <w:pPr>
      <w:keepNext w:val="true"/>
      <w:numPr>
        <w:ilvl w:val="3"/>
        <w:numId w:val="1"/>
      </w:numPr>
      <w:spacing w:before="240" w:after="240"/>
      <w:ind w:left="1264" w:right="0" w:hanging="0"/>
      <w:jc w:val="center"/>
      <w:outlineLvl w:val="3"/>
    </w:pPr>
    <w:rPr>
      <w:b/>
      <w:bCs/>
      <w:sz w:val="28"/>
    </w:rPr>
  </w:style>
  <w:style w:type="paragraph" w:styleId="Heading5">
    <w:name w:val="Heading 5"/>
    <w:basedOn w:val="Normal"/>
    <w:next w:val="Normal"/>
    <w:qFormat/>
    <w:pPr>
      <w:keepNext w:val="true"/>
      <w:numPr>
        <w:ilvl w:val="4"/>
        <w:numId w:val="1"/>
      </w:numPr>
      <w:spacing w:before="240" w:after="240"/>
      <w:ind w:left="1264" w:right="0" w:hanging="0"/>
      <w:outlineLvl w:val="4"/>
    </w:pPr>
    <w:rPr>
      <w:b/>
      <w:bCs/>
      <w:sz w:val="28"/>
      <w:u w:val="single"/>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paragraph" w:styleId="Heading9">
    <w:name w:val="Heading 9"/>
    <w:basedOn w:val="Normal"/>
    <w:next w:val="Normal"/>
    <w:qFormat/>
    <w:pPr>
      <w:keepNext w:val="true"/>
      <w:numPr>
        <w:ilvl w:val="8"/>
        <w:numId w:val="1"/>
      </w:numPr>
      <w:pBdr>
        <w:top w:val="single" w:sz="4" w:space="0" w:color="000000"/>
        <w:left w:val="single" w:sz="4" w:space="0" w:color="000000"/>
        <w:bottom w:val="single" w:sz="4" w:space="0" w:color="000000"/>
        <w:right w:val="single" w:sz="4" w:space="0" w:color="000000"/>
      </w:pBdr>
      <w:spacing w:before="0" w:after="0"/>
      <w:ind w:left="2835" w:right="707" w:hanging="0"/>
      <w:jc w:val="center"/>
      <w:outlineLvl w:val="8"/>
    </w:pPr>
    <w:rPr>
      <w:szCs w:val="20"/>
      <w:lang w:val="fr-FR"/>
    </w:rPr>
  </w:style>
  <w:style w:type="character" w:styleId="PODNumberingSymbols">
    <w:name w:val="POD Numbering Symbols"/>
    <w:qFormat/>
    <w:rPr/>
  </w:style>
  <w:style w:type="character" w:styleId="PODBulletSymbols">
    <w:name w:val="POD Bullet Symbols"/>
    <w:qFormat/>
    <w:rPr/>
  </w:style>
  <w:style w:type="character" w:styleId="WW8Num7z1">
    <w:name w:val="WW8Num7z1"/>
    <w:qFormat/>
    <w:rPr>
      <w:rFonts w:ascii="Tahoma" w:hAnsi="Tahoma" w:eastAsia="Times New Roman" w:cs="Tahoma"/>
    </w:rPr>
  </w:style>
  <w:style w:type="character" w:styleId="WW8Num10z0">
    <w:name w:val="WW8Num10z0"/>
    <w:qFormat/>
    <w:rPr>
      <w:rFonts w:ascii="Tahoma" w:hAnsi="Tahoma" w:eastAsia="Times New Roman" w:cs="Tahoma"/>
    </w:rPr>
  </w:style>
  <w:style w:type="character" w:styleId="WW8Num10z1">
    <w:name w:val="WW8Num10z1"/>
    <w:qFormat/>
    <w:rPr>
      <w:rFonts w:ascii="Courier New" w:hAnsi="Courier New" w:cs="Courier New"/>
    </w:rPr>
  </w:style>
  <w:style w:type="character" w:styleId="WW8Num10z2">
    <w:name w:val="WW8Num10z2"/>
    <w:qFormat/>
    <w:rPr>
      <w:rFonts w:ascii="Wingdings" w:hAnsi="Wingdings"/>
    </w:rPr>
  </w:style>
  <w:style w:type="character" w:styleId="WW8Num10z3">
    <w:name w:val="WW8Num10z3"/>
    <w:qFormat/>
    <w:rPr>
      <w:rFonts w:ascii="Symbol" w:hAnsi="Symbol"/>
    </w:rPr>
  </w:style>
  <w:style w:type="character" w:styleId="Policepardfaut">
    <w:name w:val="Police par défaut"/>
    <w:qFormat/>
    <w:rPr/>
  </w:style>
  <w:style w:type="character" w:styleId="PageNumber">
    <w:name w:val="Page Number"/>
    <w:basedOn w:val="Policepardfaut"/>
    <w:rPr/>
  </w:style>
  <w:style w:type="character" w:styleId="Bnr1pod">
    <w:name w:val="Bnr1pod"/>
    <w:qFormat/>
    <w:rPr>
      <w:b/>
    </w:rPr>
  </w:style>
  <w:style w:type="character" w:styleId="Bnr2pod">
    <w:name w:val="Bnr2pod"/>
    <w:qFormat/>
    <w:rPr>
      <w:u w:val="single"/>
    </w:rPr>
  </w:style>
  <w:style w:type="character" w:styleId="Bnr4pod">
    <w:name w:val="Bnr4pod"/>
    <w:qFormat/>
    <w:rPr>
      <w:i/>
    </w:rPr>
  </w:style>
  <w:style w:type="character" w:styleId="Bnr5pod">
    <w:name w:val="Bnr5pod"/>
    <w:qFormat/>
    <w:rPr>
      <w:vertAlign w:val="superscript"/>
    </w:rPr>
  </w:style>
  <w:style w:type="character" w:styleId="Bnr7pod">
    <w:name w:val="Bnr7pod"/>
    <w:qFormat/>
    <w:rPr>
      <w:b/>
      <w:u w:val="single"/>
    </w:rPr>
  </w:style>
  <w:style w:type="character" w:styleId="Bnr10pod">
    <w:name w:val="Bnr10pod"/>
    <w:qFormat/>
    <w:rPr>
      <w:i/>
      <w:u w:val="single"/>
    </w:rPr>
  </w:style>
  <w:style w:type="paragraph" w:styleId="ParaKWN">
    <w:name w:val="ParaKWN"/>
    <w:basedOn w:val="Normal"/>
    <w:qFormat/>
    <w:pPr>
      <w:keepNext w:val="true"/>
    </w:pP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oto Serif CJK SC" w:cs="Lohit Devanagari"/>
      <w:color w:val="auto"/>
      <w:kern w:val="2"/>
      <w:sz w:val="24"/>
      <w:szCs w:val="24"/>
      <w:lang w:val="fr-FR" w:eastAsia="zh-CN" w:bidi="hi-IN"/>
    </w:rPr>
  </w:style>
  <w:style w:type="paragraph" w:styleId="PodBulletItem">
    <w:name w:val="podBulletItem"/>
    <w:basedOn w:val="Normal"/>
    <w:qFormat/>
    <w:pPr>
      <w:numPr>
        <w:ilvl w:val="0"/>
        <w:numId w:val="4"/>
      </w:numPr>
    </w:pPr>
    <w:rPr/>
  </w:style>
  <w:style w:type="paragraph" w:styleId="PodNumberItem">
    <w:name w:val="podNumberItem"/>
    <w:basedOn w:val="Normal"/>
    <w:qFormat/>
    <w:pPr>
      <w:numPr>
        <w:ilvl w:val="0"/>
        <w:numId w:val="3"/>
      </w:numPr>
    </w:pPr>
    <w:rPr/>
  </w:style>
  <w:style w:type="paragraph" w:styleId="PodBulletItemKeepWithNext">
    <w:name w:val="podBulletItemKeepWithNext"/>
    <w:basedOn w:val="Normal"/>
    <w:qFormat/>
    <w:pPr>
      <w:keepNext w:val="true"/>
      <w:numPr>
        <w:ilvl w:val="0"/>
        <w:numId w:val="4"/>
      </w:numPr>
    </w:pPr>
    <w:rPr/>
  </w:style>
  <w:style w:type="paragraph" w:styleId="PodNumberItemKeepWithNext">
    <w:name w:val="podNumberItemKeepWithNext"/>
    <w:basedOn w:val="Normal"/>
    <w:qFormat/>
    <w:pPr>
      <w:keepNext w:val="true"/>
      <w:numPr>
        <w:ilvl w:val="0"/>
        <w:numId w:val="3"/>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centr">
    <w:name w:val="Normal centré"/>
    <w:basedOn w:val="Normal"/>
    <w:qFormat/>
    <w:pPr>
      <w:pBdr>
        <w:top w:val="single" w:sz="4" w:space="1" w:color="000000"/>
        <w:left w:val="single" w:sz="4" w:space="4" w:color="000000"/>
        <w:bottom w:val="single" w:sz="4" w:space="1" w:color="000000"/>
        <w:right w:val="single" w:sz="4" w:space="4" w:color="000000"/>
      </w:pBdr>
      <w:tabs>
        <w:tab w:val="clear" w:pos="709"/>
        <w:tab w:val="left" w:pos="4962" w:leader="none"/>
      </w:tabs>
      <w:spacing w:before="0" w:after="0"/>
      <w:ind w:left="2552" w:right="1586" w:hanging="0"/>
      <w:jc w:val="center"/>
    </w:pPr>
    <w:rPr>
      <w:rFonts w:ascii="Tahoma" w:hAnsi="Tahoma"/>
      <w:b/>
      <w:bCs/>
      <w:sz w:val="28"/>
      <w:lang w:val="fr-F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320" w:leader="none"/>
        <w:tab w:val="right" w:pos="8640" w:leader="none"/>
      </w:tabs>
    </w:pPr>
    <w:rPr>
      <w:rFonts w:ascii="Times" w:hAnsi="Times"/>
      <w:smallCaps/>
      <w:szCs w:val="20"/>
      <w:lang w:val="fr-FR"/>
    </w:rPr>
  </w:style>
  <w:style w:type="paragraph" w:styleId="Textedebulles">
    <w:name w:val="Texte de bulles"/>
    <w:basedOn w:val="Normal"/>
    <w:qFormat/>
    <w:pPr/>
    <w:rPr>
      <w:rFonts w:ascii="Tahoma" w:hAnsi="Tahoma" w:cs="Tahoma"/>
      <w:sz w:val="16"/>
      <w:szCs w:val="16"/>
    </w:rPr>
  </w:style>
  <w:style w:type="paragraph" w:styleId="FrameContents">
    <w:name w:val="Frame Contents"/>
    <w:basedOn w:val="TextBody"/>
    <w:qFormat/>
    <w:pPr/>
    <w:rPr/>
  </w:style>
  <w:style w:type="paragraph" w:styleId="Header">
    <w:name w:val="Header"/>
    <w:basedOn w:val="Normal"/>
    <w:pPr>
      <w:suppressLineNumbers/>
      <w:tabs>
        <w:tab w:val="clear" w:pos="709"/>
        <w:tab w:val="center" w:pos="4818" w:leader="none"/>
        <w:tab w:val="right" w:pos="9637" w:leader="none"/>
      </w:tabs>
    </w:pPr>
    <w:rPr/>
  </w:style>
  <w:style w:type="paragraph" w:styleId="Ttirebordureshautbas">
    <w:name w:val="Ttire_bordures_haut_bas"/>
    <w:basedOn w:val="Heading"/>
    <w:qFormat/>
    <w:pPr>
      <w:pBdr>
        <w:top w:val="single" w:sz="2" w:space="1" w:color="000000"/>
        <w:bottom w:val="single" w:sz="2" w:space="1" w:color="000000"/>
      </w:pBdr>
      <w:jc w:val="left"/>
    </w:pPr>
    <w:rPr>
      <w:color w:val="000000"/>
    </w:rPr>
  </w:style>
  <w:style w:type="paragraph" w:styleId="TableContents">
    <w:name w:val="Table Contents"/>
    <w:basedOn w:val="Normal"/>
    <w:qFormat/>
    <w:pPr>
      <w:suppressLineNumbers/>
    </w:pPr>
    <w:rPr/>
  </w:style>
  <w:style w:type="paragraph" w:styleId="TableHeading1">
    <w:name w:val="Table Heading"/>
    <w:basedOn w:val="TableContents"/>
    <w:qFormat/>
    <w:pPr>
      <w:suppressLineNumbers/>
      <w:jc w:val="center"/>
    </w:pPr>
    <w:rPr>
      <w:b/>
      <w:bCs/>
      <w:i/>
      <w:i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Standard2">
    <w:name w:val="Standard2"/>
    <w:qFormat/>
    <w:pPr>
      <w:widowControl/>
      <w:kinsoku w:val="true"/>
      <w:overflowPunct w:val="true"/>
      <w:autoSpaceDE w:val="true"/>
      <w:bidi w:val="0"/>
    </w:pPr>
    <w:rPr>
      <w:rFonts w:ascii="Tahoma" w:hAnsi="Tahoma" w:eastAsia="Noto Serif CJK SC" w:cs="Lohit Devanagari"/>
      <w:color w:val="auto"/>
      <w:kern w:val="2"/>
      <w:sz w:val="20"/>
      <w:szCs w:val="24"/>
      <w:lang w:val="fr-FR" w:eastAsia="zh-CN" w:bidi="hi-IN"/>
    </w:rPr>
  </w:style>
  <w:style w:type="paragraph" w:styleId="PmParaKeepWithNext">
    <w:name w:val="pmParaKeepWithNext"/>
    <w:basedOn w:val="Normal"/>
    <w:qFormat/>
    <w:pPr>
      <w:keepNext w:val="true"/>
    </w:pPr>
    <w:rPr/>
  </w:style>
  <w:style w:type="paragraph" w:styleId="XSmallText">
    <w:name w:val="xSmallText"/>
    <w:basedOn w:val="Normal"/>
    <w:qFormat/>
    <w:pPr/>
    <w:rPr>
      <w:rFonts w:ascii="Liberation Sans" w:hAnsi="Liberation Sans"/>
      <w:sz w:val="14"/>
    </w:rPr>
  </w:style>
  <w:style w:type="paragraph" w:styleId="SmallText">
    <w:name w:val="smallText"/>
    <w:basedOn w:val="Normal"/>
    <w:qFormat/>
    <w:pPr/>
    <w:rPr>
      <w:sz w:val="18"/>
    </w:rPr>
  </w:style>
  <w:style w:type="paragraph" w:styleId="LargeText">
    <w:name w:val="largeText"/>
    <w:basedOn w:val="SmallText"/>
    <w:qFormat/>
    <w:pPr/>
    <w:rPr>
      <w:sz w:val="32"/>
    </w:rPr>
  </w:style>
  <w:style w:type="paragraph" w:styleId="XLargeText">
    <w:name w:val="xLargeText"/>
    <w:basedOn w:val="LargeText"/>
    <w:qFormat/>
    <w:pPr/>
    <w:rPr>
      <w:rFonts w:ascii="Times New Roman" w:hAnsi="Times New Roman"/>
      <w:sz w:val="36"/>
    </w:rPr>
  </w:style>
  <w:style w:type="paragraph" w:styleId="Textedelibe">
    <w:name w:val="texte_delibe"/>
    <w:basedOn w:val="Normal"/>
    <w:qFormat/>
    <w:pPr>
      <w:spacing w:lineRule="auto" w:line="240" w:before="0" w:after="170"/>
    </w:pPr>
    <w:rPr>
      <w:rFonts w:ascii="Liberation Sans" w:hAnsi="Liberation Sans"/>
      <w:sz w:val="22"/>
    </w:rPr>
  </w:style>
  <w:style w:type="paragraph" w:styleId="Comment">
    <w:name w:val="Comment"/>
    <w:basedOn w:val="Normal"/>
    <w:qFormat/>
    <w:pPr/>
    <w:rPr>
      <w:sz w:val="20"/>
      <w:szCs w:val="20"/>
    </w:rPr>
  </w:style>
  <w:style w:type="paragraph" w:styleId="MltAssembly">
    <w:name w:val="mltAssembly"/>
    <w:basedOn w:val="Normal"/>
    <w:qFormat/>
    <w:pPr>
      <w:jc w:val="left"/>
    </w:pPr>
    <w:rPr/>
  </w:style>
  <w:style w:type="paragraph" w:styleId="Bnr3pod">
    <w:name w:val="Bnr3pod"/>
    <w:basedOn w:val="Normal"/>
    <w:qFormat/>
    <w:pPr>
      <w:jc w:val="both"/>
    </w:pPr>
    <w:rPr/>
  </w:style>
  <w:style w:type="paragraph" w:styleId="Bnr6pod">
    <w:name w:val="Bnr6pod"/>
    <w:basedOn w:val="PodBulletItem"/>
    <w:qFormat/>
    <w:pPr>
      <w:jc w:val="both"/>
    </w:pPr>
    <w:rPr/>
  </w:style>
  <w:style w:type="paragraph" w:styleId="Bnr8pod">
    <w:name w:val="Bnr8pod"/>
    <w:basedOn w:val="PodNumberItem"/>
    <w:qFormat/>
    <w:pPr>
      <w:jc w:val="both"/>
    </w:pPr>
    <w:rPr/>
  </w:style>
  <w:style w:type="paragraph" w:styleId="Bnr9pod">
    <w:name w:val="Bnr9pod"/>
    <w:basedOn w:val="Normal"/>
    <w:qFormat/>
    <w:pPr>
      <w:ind w:left="616" w:hanging="0"/>
      <w:jc w:val="both"/>
    </w:pPr>
    <w:rPr/>
  </w:style>
  <w:style w:type="paragraph" w:styleId="Bnr11pod">
    <w:name w:val="Bnr11pod"/>
    <w:basedOn w:val="Normal"/>
    <w:qFormat/>
    <w:pPr>
      <w:ind w:left="603" w:right="-244" w:hanging="468"/>
      <w:jc w:val="both"/>
    </w:pPr>
    <w:rPr/>
  </w:style>
  <w:style w:type="paragraph" w:styleId="Bnr12pod">
    <w:name w:val="Bnr12pod"/>
    <w:basedOn w:val="Normal"/>
    <w:qFormat/>
    <w:pPr>
      <w:ind w:left="603" w:hanging="0"/>
      <w:jc w:val="both"/>
    </w:pPr>
    <w:rPr/>
  </w:style>
  <w:style w:type="paragraph" w:styleId="Bnr13pod">
    <w:name w:val="Bnr13pod"/>
    <w:basedOn w:val="Normal"/>
    <w:qFormat/>
    <w:pPr>
      <w:ind w:left="616" w:hanging="475"/>
      <w:jc w:val="both"/>
    </w:pPr>
    <w:rPr/>
  </w:style>
  <w:style w:type="paragraph" w:styleId="Bnr14pod">
    <w:name w:val="Bnr14pod"/>
    <w:basedOn w:val="Normal"/>
    <w:qFormat/>
    <w:pPr>
      <w:ind w:left="603" w:hanging="468"/>
      <w:jc w:val="both"/>
    </w:pPr>
    <w:rPr/>
  </w:style>
  <w:style w:type="paragraph" w:styleId="Bnr15pod">
    <w:name w:val="Bnr15pod"/>
    <w:basedOn w:val="Normal"/>
    <w:qFormat/>
    <w:pPr>
      <w:ind w:left="308" w:hanging="0"/>
    </w:pPr>
    <w:rPr/>
  </w:style>
  <w:style w:type="paragraph" w:styleId="Bnr16pod">
    <w:name w:val="Bnr16pod"/>
    <w:basedOn w:val="Normal"/>
    <w:qFormat/>
    <w:pPr>
      <w:ind w:left="616" w:hanging="0"/>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Lcircle">
    <w:name w:val="L-circle"/>
    <w:qFormat/>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TotalTime>
  <Application>LibreOffice/7.3.7.2$Linux_X86_64 LibreOffice_project/30$Build-2</Application>
  <AppVersion>15.0000</AppVersion>
  <Pages>2</Pages>
  <Words>138</Words>
  <Characters>1339</Characters>
  <CharactersWithSpaces>1403</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2025-03-12T09:47:43Z</dcterms:created>
  <dc:creator/>
  <dc:description/>
  <dc:language>en-US</dc:language>
  <cp:lastModifiedBy>Antoine Duchêne</cp:lastModifiedBy>
  <dcterms:modified xsi:type="dcterms:W3CDTF">2025-12-22T15:12:59Z</dcterms:modified>
  <cp:revision>47</cp:revision>
  <dc:subject/>
  <dc:title>tmpNHFSFy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