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2" w:space="1" w:color="000000"/>
          <w:left w:val="single" w:sz="2" w:space="1" w:color="000000"/>
          <w:bottom w:val="single" w:sz="2" w:space="1" w:color="000000"/>
          <w:right w:val="single" w:sz="2" w:space="1" w:color="000000"/>
        </w:pBdr>
        <w:jc w:val="center"/>
        <w:rPr>
          <w:rFonts w:ascii="Calibri" w:hAnsi="Calibri" w:cs="Tahoma"/>
          <w:b/>
          <w:b/>
          <w:bCs/>
          <w:sz w:val="28"/>
          <w:szCs w:val="28"/>
          <w:u w:val="single"/>
        </w:rPr>
      </w:pPr>
      <w:r>
        <w:rPr>
          <w:rFonts w:cs="Tahoma" w:ascii="Calibri" w:hAnsi="Calibri"/>
          <w:b/>
          <w:bCs/>
          <w:sz w:val="28"/>
          <w:szCs w:val="28"/>
          <w:u w:val="single"/>
        </w:rPr>
        <w:t xml:space="preserve">Séance </w:t>
      </w:r>
      <w:r>
        <w:rPr>
          <w:rFonts w:cs="Tahoma" w:ascii="Calibri" w:hAnsi="Calibri"/>
          <w:b/>
          <w:bCs/>
          <w:sz w:val="28"/>
          <w:szCs w:val="28"/>
          <w:u w:val="single"/>
        </w:rPr>
        <w:t xml:space="preserve">du Conseil Communal </w:t>
      </w:r>
      <w:r>
        <w:rPr>
          <w:rFonts w:cs="Tahoma" w:ascii="Calibri" w:hAnsi="Calibri"/>
          <w:b/>
          <w:bCs/>
          <w:sz w:val="28"/>
          <w:szCs w:val="28"/>
          <w:u w:val="single"/>
        </w:rPr>
        <w:t>du 24 juin 2026 (19:30)</w:t>
      </w:r>
    </w:p>
    <w:p>
      <w:pPr>
        <w:pStyle w:val="Normal"/>
        <w:rPr>
          <w:rFonts w:ascii="Calibri" w:hAnsi="Calibri" w:cs="Tahoma"/>
          <w:sz w:val="20"/>
          <w:szCs w:val="20"/>
        </w:rPr>
      </w:pPr>
      <w:r>
        <w:rPr>
          <w:rFonts w:cs="Tahoma" w:ascii="Calibri" w:hAnsi="Calibri"/>
          <w:sz w:val="20"/>
          <w:szCs w:val="20"/>
        </w:rPr>
      </w:r>
    </w:p>
    <w:p>
      <w:pPr>
        <w:pStyle w:val="Normal"/>
        <w:jc w:val="both"/>
        <w:rPr>
          <w:rFonts w:ascii="Calibri" w:hAnsi="Calibri"/>
          <w:caps/>
          <w:u w:val="single"/>
        </w:rPr>
      </w:pPr>
      <w:r>
        <w:rPr>
          <w:rFonts w:ascii="Calibri" w:hAnsi="Calibri"/>
          <w:b/>
          <w:bCs/>
          <w:caps/>
          <w:u w:val="single"/>
        </w:rPr>
        <w:t xml:space="preserve">Composition de l’assemblée </w:t>
      </w:r>
      <w:r>
        <w:rPr>
          <w:rFonts w:ascii="Calibri" w:hAnsi="Calibri"/>
          <w:b/>
          <w:bCs/>
          <w:caps/>
          <w:u w:val="single"/>
        </w:rPr>
        <w:t>:</w:t>
      </w:r>
    </w:p>
    <w:p>
      <w:pPr>
        <w:pStyle w:val="Normal"/>
        <w:jc w:val="both"/>
        <w:rPr>
          <w:rFonts w:ascii="Calibri" w:hAnsi="Calibri"/>
          <w:b/>
          <w:b/>
          <w:bCs/>
          <w:caps/>
          <w:u w:val="single"/>
        </w:rPr>
      </w:pPr>
      <w:r>
        <w:rPr>
          <w:rFonts w:ascii="Calibri" w:hAnsi="Calibri"/>
          <w:b/>
          <w:bCs/>
          <w:caps/>
          <w:u w:val="single"/>
        </w:rPr>
      </w:r>
    </w:p>
    <w:p>
      <w:pPr>
        <w:pStyle w:val="Normal"/>
        <w:tabs>
          <w:tab w:val="clear" w:pos="709"/>
        </w:tabs>
        <w:spacing w:before="0" w:after="0"/>
        <w:jc w:val="both"/>
        <w:rPr>
          <w:rFonts w:ascii="Calibri" w:hAnsi="Calibri"/>
          <w:b w:val="false"/>
          <w:b w:val="false"/>
          <w:bCs w:val="false"/>
          <w:u w:val="single"/>
        </w:rPr>
      </w:pPr>
      <w:r>
        <w:rPr>
          <w:rFonts w:ascii="Calibri" w:hAnsi="Calibri"/>
          <w:b w:val="false"/>
          <w:bCs w:val="false"/>
          <w:u w:val="single"/>
        </w:rPr>
        <w:t>PRESENTS :</w:t>
      </w:r>
    </w:p>
    <w:p>
      <w:pPr>
        <w:pStyle w:val="MltAssembly"/>
        <w:rPr/>
      </w:pPr>
      <w:r>
        <w:rPr/>
        <w:t>Monsieur J-P. BOURDEAUD'HUY, Bourgmestre - Président;</w:t>
        <w:br/>
        <w:t>Madame Ch. VERSCHUERE, Monsieur D. DETEMMERMAN, Madame M-F BOUDRY, Échevins;</w:t>
        <w:br/>
        <w:t>Madame M-R MAES, Monsieur M. VANHONACKER, Monsieur S. MORJEAN, Monsieur Ph. PHALEMPIN, Madame F. HERNOULD, Monsieur E. DE FRENE, Conseillers;</w:t>
        <w:br/>
        <w:t>Monsieur Ph. D'HONDT, Président du CPAS - siégeant avec voix consultative;</w:t>
        <w:br/>
        <w:t>Madame A. BAUSIER, Directrice générale;</w:t>
      </w:r>
    </w:p>
    <w:p>
      <w:pPr>
        <w:pStyle w:val="Normal"/>
        <w:tabs>
          <w:tab w:val="clear" w:pos="709"/>
        </w:tabs>
        <w:spacing w:before="0" w:after="0"/>
        <w:jc w:val="both"/>
        <w:rPr>
          <w:rFonts w:ascii="Calibri" w:hAnsi="Calibri"/>
          <w:u w:val="single"/>
        </w:rPr>
      </w:pPr>
      <w:r>
        <w:rPr>
          <w:rFonts w:ascii="Calibri" w:hAnsi="Calibri"/>
          <w:u w:val="single"/>
        </w:rPr>
        <w:t>EXCUSES :</w:t>
      </w:r>
    </w:p>
    <w:p>
      <w:pPr>
        <w:pStyle w:val="MltAssembly"/>
        <w:rPr/>
      </w:pPr>
      <w:r>
        <w:rPr/>
        <w:t>Madame V. GUEMJOM, Madame V. WEYTSMAN, Madame J. DEBRABANDERE, Conseillères;</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Monsieur le Président ouvre la séance à 19 heures 30.</w:t>
      </w:r>
    </w:p>
    <w:p>
      <w:pPr>
        <w:pStyle w:val="Normal"/>
        <w:tabs>
          <w:tab w:val="clear" w:pos="709"/>
        </w:tabs>
        <w:spacing w:before="0" w:after="0"/>
        <w:jc w:val="both"/>
        <w:rPr>
          <w:rFonts w:ascii="Times New Roman" w:hAnsi="Times New Roman"/>
        </w:rPr>
      </w:pPr>
      <w:r>
        <w:rPr>
          <w:rFonts w:ascii="Times New Roman" w:hAnsi="Times New Roman"/>
        </w:rPr>
      </w:r>
    </w:p>
    <w:p>
      <w:pPr>
        <w:pStyle w:val="Normal"/>
        <w:jc w:val="both"/>
        <w:rPr>
          <w:rFonts w:ascii="Calibri" w:hAnsi="Calibri"/>
          <w:b/>
          <w:b/>
          <w:bCs/>
          <w:u w:val="single"/>
        </w:rPr>
      </w:pPr>
      <w:r>
        <w:rPr>
          <w:rFonts w:ascii="Calibri" w:hAnsi="Calibri"/>
          <w:b/>
          <w:bCs/>
          <w:u w:val="single"/>
        </w:rPr>
        <w:t>SEANCE PUBLIQUE</w:t>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N°1 : Procès-verbal séance précédente ;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DECIDE : à l'unanimité</w:t>
      </w:r>
    </w:p>
    <w:p>
      <w:pPr>
        <w:pStyle w:val="Normal"/>
        <w:rPr/>
      </w:pPr>
      <w:r>
        <w:rPr/>
        <w:t>d'approuver le procès-verbal du 28/05/2026.</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N°2 : Informations</w:t>
      </w:r>
    </w:p>
    <w:p>
      <w:pPr>
        <w:pStyle w:val="Normal"/>
        <w:tabs>
          <w:tab w:val="clear" w:pos="709"/>
        </w:tabs>
        <w:spacing w:before="0" w:after="0"/>
        <w:jc w:val="both"/>
        <w:rPr>
          <w:rFonts w:ascii="Calibri" w:hAnsi="Calibri"/>
        </w:rPr>
      </w:pPr>
      <w:r>
        <w:rPr>
          <w:rFonts w:ascii="Calibri" w:hAnsi="Calibri"/>
        </w:rPr>
      </w:r>
    </w:p>
    <w:p>
      <w:pPr>
        <w:pStyle w:val="Normal"/>
        <w:rPr/>
      </w:pPr>
      <w:r>
        <w:rPr>
          <w:rStyle w:val="RGl1pod"/>
        </w:rPr>
        <w:t>Madame Maes </w:t>
      </w:r>
    </w:p>
    <w:p>
      <w:pPr>
        <w:pStyle w:val="Normal"/>
        <w:rPr/>
      </w:pPr>
      <w:r>
        <w:rPr/>
        <w:t>Nous sommes très heureux de constater que le site internet de la commune est enfin en ligne. C'est une excellente nouvelle. En revanche, je pense qu'il aurait peut-être été préférable de procéder à une vérification complète du contenu avant sa mise en ligne, afin de corriger les éventuelles erreurs ou informations manquantes. Il me semble que ce travail aurait dû être réalisé en amont.</w:t>
      </w:r>
    </w:p>
    <w:p>
      <w:pPr>
        <w:pStyle w:val="Normal"/>
        <w:rPr/>
      </w:pPr>
      <w:r>
        <w:rPr/>
        <w:t>En effet, l'oubli d'une conseillère communale et de certaines informations constitue, à mes yeux, une erreur qui aurait également pu être évitée si cette vérification avait eu lieu avant la publication.</w:t>
      </w:r>
    </w:p>
    <w:p>
      <w:pPr>
        <w:pStyle w:val="Normal"/>
        <w:rPr/>
      </w:pPr>
      <w:r>
        <w:rPr/>
        <w:t>Cela étant dit, nous vous remercions pour le travail réalisé et nous espérons que, pour les prochaines mises à jour, ce type de contrôle sera effectué préalablement à la mise en ligne. </w:t>
      </w:r>
    </w:p>
    <w:p>
      <w:pPr>
        <w:pStyle w:val="Normal"/>
        <w:rPr/>
      </w:pPr>
      <w:r>
        <w:rPr>
          <w:rStyle w:val="RGl1pod"/>
        </w:rPr>
        <w:t>Monsieur le Bourgmestre </w:t>
      </w:r>
    </w:p>
    <w:p>
      <w:pPr>
        <w:pStyle w:val="Normal"/>
        <w:rPr/>
      </w:pPr>
      <w:r>
        <w:rPr/>
        <w:t>Nous n'avons pas de leçons à recevoir de votre part sur la manière de fonctionner. Cela étant, nous prenons bonne note de votre remarque. </w:t>
      </w:r>
    </w:p>
    <w:p>
      <w:pPr>
        <w:pStyle w:val="Normal"/>
        <w:rPr/>
      </w:pPr>
      <w:r>
        <w:rPr>
          <w:rStyle w:val="RGl1pod"/>
        </w:rPr>
        <w:t>Madame Hernould</w:t>
      </w:r>
    </w:p>
    <w:p>
      <w:pPr>
        <w:pStyle w:val="Normal"/>
        <w:rPr/>
      </w:pPr>
      <w:r>
        <w:rPr/>
        <w:t>Je suis heureuse de voir que le nouveau site internet de la commune est enfin en ligne. Il est moderne, agréable à utiliser et très utile pour les habitants.</w:t>
      </w:r>
    </w:p>
    <w:p>
      <w:pPr>
        <w:pStyle w:val="Normal"/>
        <w:rPr/>
      </w:pPr>
      <w:r>
        <w:rPr/>
        <w:t>J’aurais néanmoins quelques suggestions pour le rendre encore plus pratique.</w:t>
      </w:r>
    </w:p>
    <w:p>
      <w:pPr>
        <w:pStyle w:val="Normal"/>
        <w:rPr/>
      </w:pPr>
      <w:r>
        <w:rPr/>
        <w:t>Il serait intéressant de compléter la rubrique « Sports et loisirs » avec davantage d’informations pratiques sur les activités proposées dans la commune (marche, yoga, zumba, danse, etc.), notamment les horaires, lieux et contacts.</w:t>
      </w:r>
    </w:p>
    <w:p>
      <w:pPr>
        <w:pStyle w:val="Normal"/>
        <w:rPr/>
      </w:pPr>
      <w:r>
        <w:rPr/>
        <w:t>Notre commune accueille régulièrement des courses cyclistes et d’autres événements sportifs. Il serait utile de disposer d’une page bien visible reprenant les dates des courses, les parcours, les éventuelles restrictions de circulation ainsi que les horaires. Cela permettrait aux habitants de mieux s’organiser tout en contribuant à la promotion de ces événements, souvent jugés insuffisamment annoncés. Aujourd’hui, ces informations sont parfois difficiles à trouver, car il faut passer par l’agenda puis rechercher la rubrique « courses de vélo ».</w:t>
      </w:r>
    </w:p>
    <w:p>
      <w:pPr>
        <w:pStyle w:val="Normal"/>
        <w:rPr/>
      </w:pPr>
      <w:r>
        <w:rPr>
          <w:rStyle w:val="RGl1pod"/>
        </w:rPr>
        <w:t>Monsieur le Bourgmestre</w:t>
      </w:r>
    </w:p>
    <w:p>
      <w:pPr>
        <w:pStyle w:val="Normal"/>
        <w:rPr/>
      </w:pPr>
      <w:r>
        <w:rPr/>
        <w:t>Je souhaiterais toutefois apporter une nuance concernant les courses cyclistes. Il existe en effet deux types d'épreuves.</w:t>
      </w:r>
    </w:p>
    <w:p>
      <w:pPr>
        <w:pStyle w:val="Normal"/>
        <w:rPr/>
      </w:pPr>
      <w:r>
        <w:rPr/>
        <w:t>D'une part, les courses qui traversent simplement le territoire communal. Dans ce cas, les perturbations sont très limitées, puisque la circulation est interrompue seulement quelques minutes avant le passage des coureurs et rétablie immédiatement après. Pour ce type d'événement, il pourrait être envisagé d'indiquer sur le site internet la date du passage de la course, sans qu'il soit nécessaire d'entrer dans davantage de détails.</w:t>
      </w:r>
    </w:p>
    <w:p>
      <w:pPr>
        <w:pStyle w:val="Normal"/>
        <w:rPr/>
      </w:pPr>
      <w:r>
        <w:rPr/>
        <w:t>D'autre part, il y a les courses organisées sur un circuit local, notamment celles du Braquet Droit. Pour ces événements, une information est systématiquement distribuée dans les boîtes aux lettres de tous les riverains concernés par le parcours. Cette distribution est assurée par l'organisateur. C'est également la procédure qui a été appliquée à l'occasion du Circuit Franco-Belge.</w:t>
      </w:r>
    </w:p>
    <w:p>
      <w:pPr>
        <w:pStyle w:val="Normal"/>
        <w:rPr/>
      </w:pPr>
      <w:r>
        <w:rPr/>
        <w:t>Les riverains reçoivent ainsi toutes les informations utiles, notamment le tracé du circuit, les horaires de passage ainsi que les modalités à suivre s'ils souhaitent circuler pendant la durée de l'épreuve. Ils sont notamment informés de la possibilité de solliciter un laissez-passer auprès de l'administration communale. À titre d'exemple, plus d'une centaine de laissez-passer ont été délivrés dans le cadre du Circuit Franco-Belge afin de permettre aux habitants concernés de circuler si nécessaire.</w:t>
      </w:r>
    </w:p>
    <w:p>
      <w:pPr>
        <w:pStyle w:val="Normal"/>
        <w:rPr/>
      </w:pPr>
      <w:r>
        <w:rPr/>
        <w:t>Concernant la question des médecins, je précise que ceux-ci peuvent également obtenir un laissez-passer, à condition d'en faire la demande auprès de l'administration communale, selon la même procédure que les autres riverains. Il ajoute que cette information figurait dans les courriers distribués ainsi que sur le site internet. Enfin, il indique qu'en cas de contrôle, un médecin justifiant de sa qualité professionnelle pourrait, le cas échéant, être autorisé à poursuivre son trajet par les services de police.</w:t>
      </w:r>
    </w:p>
    <w:p>
      <w:pPr>
        <w:pStyle w:val="Normal"/>
        <w:rPr/>
      </w:pPr>
      <w:r>
        <w:rPr>
          <w:rStyle w:val="RGl1pod"/>
        </w:rPr>
        <w:t>Monsieur Vanhonacker</w:t>
      </w:r>
    </w:p>
    <w:p>
      <w:pPr>
        <w:pStyle w:val="Normal"/>
        <w:rPr/>
      </w:pPr>
      <w:r>
        <w:rPr/>
        <w:t>Monsieur le Bourgmestre,</w:t>
      </w:r>
    </w:p>
    <w:p>
      <w:pPr>
        <w:pStyle w:val="Normal"/>
        <w:rPr/>
      </w:pPr>
      <w:r>
        <w:rPr/>
        <w:t>Je tiens tout d’abord à féliciter le collège, les services communaux et l’ensemble des personnes impliquées pour la bonne organisation de la Franco-Belge qui s’est récemment déroulée dans notre commune. Cet événement contribue à la visibilité et à l’attractivité de notre commune. J’aimerais toutefois formuler quelques questions et remarques.</w:t>
      </w:r>
    </w:p>
    <w:p>
      <w:pPr>
        <w:pStyle w:val="Normal"/>
        <w:rPr/>
      </w:pPr>
      <w:r>
        <w:rPr/>
        <w:t>Outre les 50.000 euros versés à l’organisateur, la Franco-Belge a nécessité la mobilisation des services communaux pour sa préparation, sa coordination, sa signalisation et son suivi. L’an dernier, il m’avait été indiqué que ce coût était difficile à chiffrer. Je comprends qu’un chiffrage précis puisse être complexe, mais une estimation raisonnable du coût de cette mobilisation devrait pouvoir être communiquée.</w:t>
      </w:r>
    </w:p>
    <w:p>
      <w:pPr>
        <w:pStyle w:val="Normal"/>
        <w:rPr/>
      </w:pPr>
      <w:r>
        <w:rPr/>
        <w:t>Je souhaiterais donc connaître :</w:t>
      </w:r>
    </w:p>
    <w:p>
      <w:pPr>
        <w:pStyle w:val="PodBulletItem"/>
        <w:numPr>
          <w:ilvl w:val="0"/>
          <w:numId w:val="5"/>
        </w:numPr>
        <w:tabs>
          <w:tab w:val="clear" w:pos="709"/>
          <w:tab w:val="left" w:pos="0" w:leader="none"/>
        </w:tabs>
        <w:ind w:left="922" w:hanging="461"/>
        <w:rPr/>
      </w:pPr>
      <w:r>
        <w:rPr/>
        <w:t>le nombre d’heures consacrées à cet événement par le personnel communal ;</w:t>
      </w:r>
    </w:p>
    <w:p>
      <w:pPr>
        <w:pStyle w:val="PodBulletItem"/>
        <w:numPr>
          <w:ilvl w:val="0"/>
          <w:numId w:val="5"/>
        </w:numPr>
        <w:tabs>
          <w:tab w:val="clear" w:pos="709"/>
          <w:tab w:val="left" w:pos="0" w:leader="none"/>
        </w:tabs>
        <w:ind w:left="922" w:hanging="461"/>
        <w:rPr/>
      </w:pPr>
      <w:r>
        <w:rPr/>
        <w:t>les services mobilisés ;</w:t>
      </w:r>
    </w:p>
    <w:p>
      <w:pPr>
        <w:pStyle w:val="PodBulletItem"/>
        <w:numPr>
          <w:ilvl w:val="0"/>
          <w:numId w:val="5"/>
        </w:numPr>
        <w:tabs>
          <w:tab w:val="clear" w:pos="709"/>
          <w:tab w:val="left" w:pos="0" w:leader="none"/>
        </w:tabs>
        <w:ind w:left="922" w:hanging="461"/>
        <w:rPr/>
      </w:pPr>
      <w:r>
        <w:rPr/>
        <w:t>les coûts supportés par la commune en plus de la subvention de 50.000 euros ;</w:t>
      </w:r>
    </w:p>
    <w:p>
      <w:pPr>
        <w:pStyle w:val="PodBulletItem"/>
        <w:numPr>
          <w:ilvl w:val="0"/>
          <w:numId w:val="5"/>
        </w:numPr>
        <w:tabs>
          <w:tab w:val="clear" w:pos="709"/>
          <w:tab w:val="left" w:pos="0" w:leader="none"/>
        </w:tabs>
        <w:ind w:left="922" w:hanging="461"/>
        <w:rPr/>
      </w:pPr>
      <w:r>
        <w:rPr/>
        <w:t>le coût total estimé de cette manifestation.</w:t>
      </w:r>
    </w:p>
    <w:p>
      <w:pPr>
        <w:pStyle w:val="Normal"/>
        <w:rPr/>
      </w:pPr>
      <w:r>
        <w:rPr/>
        <w:t>Je souhaiterais obtenir une réponse claire à cette question, qui suscite également l’intérêt de nombreux habitants. Il est légitime que le conseil communal et les citoyens puissent disposer d’une estimation du coût réel de cet événement pour notre commune.</w:t>
      </w:r>
    </w:p>
    <w:p>
      <w:pPr>
        <w:pStyle w:val="Normal"/>
        <w:rPr/>
      </w:pPr>
      <w:r>
        <w:rPr/>
        <w:t>Cette question est d’autant plus importante que nos services communaux doivent continuer à assurer leurs missions quotidiennes, notamment l’entretien des cimetières, des pistes cyclables et des chemins de promenade. La mobilisation nécessaire pour la Franco-Belge ne peut pas avoir pour conséquence de retarder ou de négliger ces travaux d’entretien courants, qui restent essentiels pour nos habitants.</w:t>
      </w:r>
    </w:p>
    <w:p>
      <w:pPr>
        <w:pStyle w:val="Normal"/>
        <w:rPr/>
      </w:pPr>
      <w:r>
        <w:rPr/>
        <w:t>Par ailleurs, plusieurs riverains, notamment de la Rue des Courbes, ont signalé ne pas avoir reçu de laissez-passer leur permettant de circuler malgré les restrictions liées à la Franco-Belge. Le collège peut-il expliquer cette situation et préciser les mesures qui seront prises afin que tous les riverains qui en ont besoin reçoivent bien un laissez-passer lors des prochaines éditions ?</w:t>
      </w:r>
    </w:p>
    <w:p>
      <w:pPr>
        <w:pStyle w:val="Normal"/>
        <w:rPr/>
      </w:pPr>
      <w:r>
        <w:rPr/>
        <w:t>Je vous remercie.</w:t>
      </w:r>
    </w:p>
    <w:p>
      <w:pPr>
        <w:pStyle w:val="Normal"/>
        <w:rPr/>
      </w:pPr>
      <w:r>
        <w:rPr>
          <w:rStyle w:val="RGl1pod"/>
        </w:rPr>
        <w:t> </w:t>
      </w:r>
      <w:r>
        <w:rPr>
          <w:rStyle w:val="RGl1pod"/>
        </w:rPr>
        <w:t>Monsieur le Bourgmestre</w:t>
      </w:r>
    </w:p>
    <w:p>
      <w:pPr>
        <w:pStyle w:val="Normal"/>
        <w:rPr/>
      </w:pPr>
      <w:r>
        <w:rPr/>
        <w:t>D'accord, je vais d'abord vous répondre.</w:t>
      </w:r>
    </w:p>
    <w:p>
      <w:pPr>
        <w:pStyle w:val="Normal"/>
        <w:rPr/>
      </w:pPr>
      <w:r>
        <w:rPr/>
        <w:t>Tout d'abord, à chacun son rôle dans la commune. Vous êtes conseiller communal, moi, je suis Bourgmestre.</w:t>
      </w:r>
    </w:p>
    <w:p>
      <w:pPr>
        <w:pStyle w:val="Normal"/>
        <w:rPr/>
      </w:pPr>
      <w:r>
        <w:rPr/>
        <w:t>Alors, il y a certaines tâches sur lesquelles je ne vais pas venir vers vous pour vous dire ce que je vais faire ou ne pas faire. La sécurité, je crois que c'est du ressort du Bourgmestre, ce n'est pas du ressort d'un conseiller communal.</w:t>
      </w:r>
    </w:p>
    <w:p>
      <w:pPr>
        <w:pStyle w:val="Normal"/>
        <w:rPr/>
      </w:pPr>
      <w:r>
        <w:rPr/>
        <w:t>On sait très bien que, lorsqu'on organise une manifestation, que ce soit le carnaval ou autre chose, on mobilise des ouvriers. On a organisé la Fête de la Musique ici, à l'Enclus du Haut. On a mobilisé des ouvriers pour dégager le parc, nettoyer le parc, apporter le mobilier, les tables et les chaises, aller récupérer les tables et les chaises. Nous avons également dû intervenir parce que nous avons rencontré des problèmes d'électricité.</w:t>
      </w:r>
    </w:p>
    <w:p>
      <w:pPr>
        <w:pStyle w:val="Normal"/>
        <w:rPr/>
      </w:pPr>
      <w:r>
        <w:rPr/>
        <w:t>Si on commence à tout calculer et à comptabiliser les frais, on ne fait plus rien du tout, je vous assure. Ce n'est pas notre but, en tout cas. Je vais peut-être revenir sur la Franco-Belge et la problématique des laissez-passer.</w:t>
      </w:r>
    </w:p>
    <w:p>
      <w:pPr>
        <w:pStyle w:val="Normal"/>
        <w:rPr/>
      </w:pPr>
      <w:r>
        <w:rPr/>
        <w:t>Là, je dois vous avouer que, par rapport à l'année dernière, nous avons mis en place ce qu'on appelle des laissez-passer. Pourquoi ? Parce que nous avions remarqué que, lors de l'édition précédente, en 2025, il y avait trop de voitures intercalées entre la course et le peloton. À un certain moment, on risquait que ces voitures bloquent les coureurs dans la course, ce qui était relativement dangereux. L'année passée, nous avons rencontré ce problème. À la demande de la police, nous avons donc mis en place ce qu'on appelle des laissez-passer. Qu'est-ce que cela voulait dire ? Cela voulait dire que les personnes qui souhaitaient circuler sur le circuit devaient introduire une demande préalable de laissez-passer. Le laissez-passer reprenait l'identité du conducteur du véhicule ainsi que le numéro de plaque du véhicule. Lors de l'organisation de la Franco-Belge, il faut savoir qu'il y avait un appui de la police du Val de l'Escaut, un appui de la zone des Collines, de Flobecq-Lessines, ainsi qu'un appui de la Police fédérale. C'est ce qui se fait systématiquement lors des grandes courses et des grandes manifestations.</w:t>
      </w:r>
    </w:p>
    <w:p>
      <w:pPr>
        <w:pStyle w:val="Normal"/>
        <w:rPr/>
      </w:pPr>
      <w:r>
        <w:rPr/>
        <w:t>Dès lors, lorsqu'on tombait sur un policier qui n'était pas familiarisé avec la région ni avec les habitants des rues concernées, s'il n'y avait pas de laissez-passer, on ne passait pas. C'est notamment ce qui s'est produit pour certains habitants de la Rue des Courbes.</w:t>
      </w:r>
    </w:p>
    <w:p>
      <w:pPr>
        <w:pStyle w:val="Normal"/>
        <w:rPr/>
      </w:pPr>
      <w:r>
        <w:rPr/>
        <w:t>Finalement, nous avons mis en place un système qui a relativement bien fonctionné, mais qui a aussi montré certaines failles, notamment pour les habitants qui n'avaient pas demandé de laissez-passer, qui l'avaient oublié et qui se sont retrouvés bloqués en se disant : « Nous n'avons jamais fait la demande. ». C'est vrai qu'ils ont dû effectuer un détour assez important pour pouvoir rejoindre leur habitation. Nous aurons, d'ici une quinzaine de jours, une réunion de débriefing avec les responsables de la Franco-Belge et les différentes zones de police concernées. Il y aura la police de Renaix, la police de Kluisbergen, la Police fédérale, la police du Val de l'Escaut ainsi que la police du Pays des Collines. Nous allons faire un débriefing afin d'examiner ce qui a bien fonctionné et ce qui n'a pas bien fonctionné, afin d'améliorer les choses pour l'avenir.</w:t>
      </w:r>
    </w:p>
    <w:p>
      <w:pPr>
        <w:pStyle w:val="Normal"/>
        <w:rPr/>
      </w:pPr>
      <w:r>
        <w:rPr/>
        <w:t>Si je peux déjà vous le dire, pour l'année prochaine, il y a de fortes chances que nous abandonnions le système des laissez-passer pour le remplacer par un système de bracelets. Concrètement, nous déposerions d'office, dans chaque boîte aux lettres des riverains concernés, deux bracelets, parce qu'en général nous considérons qu'un ménage dispose de deux véhicules et de deux conducteurs. Si un ménage a besoin de bracelets supplémentaires, il pourra alors se manifester auprès de la commune. Cela permettra d'éviter la situation d'un habitant qui aurait oublié d'introduire sa demande de laissez-passer. Il recevra automatiquement deux bracelets.</w:t>
      </w:r>
    </w:p>
    <w:p>
      <w:pPr>
        <w:pStyle w:val="Normal"/>
        <w:rPr/>
      </w:pPr>
      <w:r>
        <w:rPr/>
        <w:t>Un courrier accompagnera ces bracelets afin d'expliquer leur présence dans la boîte aux lettres et précisera simplement que, le jour de la course, si les habitants souhaitent pouvoir rentrer chez eux sans difficulté, ils devront porter le bracelet. Cela permettra aux policiers de contrôler immédiatement la situation : bracelet, il peut passer. Vous voyez, ce sont des suggestions qui naissent après la course et après les discussions. Le but est d'essayer, chaque année, d'améliorer le dispositif.</w:t>
      </w:r>
    </w:p>
    <w:p>
      <w:pPr>
        <w:pStyle w:val="Normal"/>
        <w:rPr/>
      </w:pPr>
      <w:r>
        <w:rPr/>
        <w:t>C'est vrai qu'il y a eu des problèmes à la Rue des Courbes. Moi-même, je suis intervenu après la course parce que, lorsque celle-ci était terminée, on bloquait encore la Rue des Courbes pour les habitants qui n'avaient pas de laissez-passer. Pourquoi ? Parce qu'il y avait encore un décalage de plus de vingt minutes entre le peloton et le camion-balai et que, tant que le camion-balai n'était pas passé, il fallait normalement maintenir la circulation bloquée.</w:t>
      </w:r>
    </w:p>
    <w:p>
      <w:pPr>
        <w:pStyle w:val="Normal"/>
        <w:rPr/>
      </w:pPr>
      <w:r>
        <w:rPr/>
        <w:t>Mais, à un certain moment, lorsqu'il ne reste plus qu'un ou deux coureurs, c'est un peu gênant de bloquer toute une population pour deux coureurs qui souhaitent encore rejoindre la ligne d'arrivée.</w:t>
      </w:r>
    </w:p>
    <w:p>
      <w:pPr>
        <w:pStyle w:val="Normal"/>
        <w:rPr/>
      </w:pPr>
      <w:r>
        <w:rPr/>
        <w:t>À ce niveau-là, je vous rassure, des mesures seront prises. Je crois que l'organisation d'un tel événement, qui est quand même un grand événement, demande beaucoup de préparation. Nous avons encore vu cette année le nombre de personnes présentes sur le circuit, tant à l'arrivée que tout au long du parcours.</w:t>
      </w:r>
    </w:p>
    <w:p>
      <w:pPr>
        <w:pStyle w:val="Normal"/>
        <w:rPr/>
      </w:pPr>
      <w:r>
        <w:rPr/>
        <w:t>L'organisation d'un tel événement demande beaucoup de préparation et on ne peut pas être parfait dès la première édition. Je crois qu'à un certain moment, il faut s'améliorer, se remettre en question à chaque fois, et c'est ce que nous faisons. Toutefois, vous me dites qu'il ne serait pas inutile de savoir combien cela coûte approximativement. Mais, franchement, vous pensez que je fais le calcul de toutes les manifestations que nous organisons ? Je ne sais même plus, aujourd'hui, combien de personnes travaillaient pour la Franco-Belge pendant la semaine de la course. C'est déjà sorti de ma tête. Franchement, j'ai autre chose à faire que de calculer toutes les heures prestées. Et le nettoyage ne sert pas uniquement avant la course : il faut aussi nettoyer après la course, et cela profite à tout le monde, effectivement.</w:t>
      </w:r>
    </w:p>
    <w:p>
      <w:pPr>
        <w:pStyle w:val="Normal"/>
        <w:rPr/>
      </w:pPr>
      <w:r>
        <w:rPr>
          <w:rStyle w:val="RGl1pod"/>
        </w:rPr>
        <w:t>Monsieur Vanhonacker</w:t>
      </w:r>
    </w:p>
    <w:p>
      <w:pPr>
        <w:pStyle w:val="Normal"/>
        <w:rPr/>
      </w:pPr>
      <w:r>
        <w:rPr/>
        <w:t>Je trouve tout à fait normal que l'on établisse une estimation des coûts pour ce genre d'événements, sachant qu'ils coûtent au moins 50 000 euros, surtout si l'on prétend agir en bon père de famille.</w:t>
      </w:r>
    </w:p>
    <w:p>
      <w:pPr>
        <w:pStyle w:val="Normal"/>
        <w:rPr/>
      </w:pPr>
      <w:r>
        <w:rPr>
          <w:rStyle w:val="RGl1pod"/>
        </w:rPr>
        <w:t>Madame Maes :</w:t>
      </w:r>
    </w:p>
    <w:p>
      <w:pPr>
        <w:pStyle w:val="Normal"/>
        <w:rPr/>
      </w:pPr>
      <w:r>
        <w:rPr/>
        <w:t>J'ai lu dans la presse qu'à partir du 1er juillet, le Conseil de police n'existera plus. Je pense que vous l'avez suffisamment expliqué. J'ai également lu qu'il était question d'une diminution du personnel et d'une diminution des prestations. Je ne sais pas si c'est exact ou non.</w:t>
      </w:r>
    </w:p>
    <w:p>
      <w:pPr>
        <w:pStyle w:val="Normal"/>
        <w:rPr/>
      </w:pPr>
      <w:r>
        <w:rPr/>
        <w:t>J'ai aussi lu dans la presse que vous indiquiez qu'il serait peut-être intéressant, par la suite, d'organiser des réunions d'information avec les conseillers communaux, notamment avec les anciens membres du Conseil de police.</w:t>
      </w:r>
    </w:p>
    <w:p>
      <w:pPr>
        <w:pStyle w:val="Normal"/>
        <w:rPr/>
      </w:pPr>
      <w:r>
        <w:rPr/>
        <w:t>J'aimerais donc connaître votre point de vue à ce sujet. </w:t>
      </w:r>
    </w:p>
    <w:p>
      <w:pPr>
        <w:pStyle w:val="Normal"/>
        <w:rPr/>
      </w:pPr>
      <w:r>
        <w:rPr>
          <w:rStyle w:val="RGl1pod"/>
        </w:rPr>
        <w:t>Monsieur le Bourgmestre :</w:t>
      </w:r>
    </w:p>
    <w:p>
      <w:pPr>
        <w:pStyle w:val="Normal"/>
        <w:rPr/>
      </w:pPr>
      <w:r>
        <w:rPr/>
        <w:t>Ce qui a été dit au Collège de police ce lundi, c'est que certaines personnes ont appris la décision du ministre Quintin de supprimer les Conseils de police à partir du 1er juillet. Au niveau national, cela représente une économie de 2 millions d'euros.</w:t>
      </w:r>
    </w:p>
    <w:p>
      <w:pPr>
        <w:pStyle w:val="Normal"/>
        <w:rPr/>
      </w:pPr>
      <w:r>
        <w:rPr/>
        <w:t>Pour ce qui concerne la zone de police du Val de l'Escaut, nous organisons en moyenne quatre Conseils de police par an, ce qui représente un coût budgétaire annuel d'environ 5.000 euros. Sur un budget de 7.500.000 euros, cela ne représente même pas un millième du budget.</w:t>
      </w:r>
    </w:p>
    <w:p>
      <w:pPr>
        <w:pStyle w:val="Normal"/>
        <w:rPr/>
      </w:pPr>
      <w:r>
        <w:rPr/>
        <w:t>Je pense qu'à un certain moment, s'il y a lieu de faire des économies, on peut regarder ailleurs que de supprimer les Conseils de police. Au sein d'un Conseil de police, vous avez des conseillers issus des différentes communes, désignés selon la clé D'Hondt. C'est l'occasion pour eux de relayer certains faits liés à la sécurité. Même si cela ne se produit pas à chaque réunion, cela peut parfois éviter des drames ou des catastrophes.</w:t>
      </w:r>
    </w:p>
    <w:p>
      <w:pPr>
        <w:pStyle w:val="Normal"/>
        <w:rPr/>
      </w:pPr>
      <w:r>
        <w:rPr/>
        <w:t>À ce niveau-là, je ne partage absolument pas la décision du ministre Quintin de supprimer les Conseils de police au motif qu'ils ne serviraient plus à rien. Je pense qu'il aurait peut-être fallu les revoir autrement, mais les supprimer me paraît excessif.</w:t>
      </w:r>
    </w:p>
    <w:p>
      <w:pPr>
        <w:pStyle w:val="Normal"/>
        <w:rPr/>
      </w:pPr>
      <w:r>
        <w:rPr/>
        <w:t>Les supprimer alors que la fusion des zones de police n'a pas encore commencé, alors que nous savons tous qu'elle arrivera, me paraît également prématuré. La position du ministre est d'ailleurs très claire.</w:t>
      </w:r>
    </w:p>
    <w:p>
      <w:pPr>
        <w:pStyle w:val="Normal"/>
        <w:rPr/>
      </w:pPr>
      <w:r>
        <w:rPr/>
        <w:t>La zone de police du Val de l'Escaut est composée de quatre communes : Mont-de-l'Enclus, Celles, Pecq et Estaimpuis. Ce sont quatre communes qui se ressemblent et qui sont de petite taille par rapport à des villes comme Tournai ou Mouscron.</w:t>
      </w:r>
    </w:p>
    <w:p>
      <w:pPr>
        <w:pStyle w:val="Normal"/>
        <w:rPr/>
      </w:pPr>
      <w:r>
        <w:rPr/>
        <w:t>Dans la région, il existe trois grandes zones de police : Tournai, Mouscron et le Pays des Collines. Les possibilités de fusion sont donc relativement limitées.</w:t>
      </w:r>
    </w:p>
    <w:p>
      <w:pPr>
        <w:pStyle w:val="Normal"/>
        <w:rPr/>
      </w:pPr>
      <w:r>
        <w:rPr/>
        <w:t>Si nous fusionnons avec Tournai ou Mouscron, nous fusionnerons avec de grandes villes. Si nous fusionnons avec le Pays des Collines, les délais d'intervention risquent de devenir très importants. Aujourd'hui déjà, entre Estaimpuis et Mont-de-l'Enclus, nous estimons le délai d'intervention à environ 45 minutes. Si demain une équipe devait intervenir entre Estaimpuis et Lessines, il faudrait compter près d'une heure et demie. En termes d'urgence, ce n'est évidemment pas satisfaisant.</w:t>
      </w:r>
    </w:p>
    <w:p>
      <w:pPr>
        <w:pStyle w:val="Normal"/>
        <w:rPr/>
      </w:pPr>
      <w:r>
        <w:rPr/>
        <w:t>Par ailleurs, si nous fusionnons avec une grande ville, lorsqu'un événement sera organisé le même jour dans plusieurs communes, les priorités de la grande ville seront naturellement supérieures à celles des petites communes. Ce sont donc les petites communes qui risquent d'être pénalisées.</w:t>
      </w:r>
    </w:p>
    <w:p>
      <w:pPr>
        <w:pStyle w:val="Normal"/>
        <w:rPr/>
      </w:pPr>
      <w:r>
        <w:rPr/>
        <w:t>Il faut également savoir qu'aujourd'hui, dans une zone de police, le poids décisionnel de chaque Bourgmestre est calculé en fonction du nombre d'habitants qu'il représente. À titre d'exemple, au sein de la zone du Val de l'Escaut, Mont-de-l'Enclus dispose d'un poids d'environ 40 % parce qu'il s'agit de la commune la plus peuplée.</w:t>
      </w:r>
    </w:p>
    <w:p>
      <w:pPr>
        <w:pStyle w:val="Normal"/>
        <w:rPr/>
      </w:pPr>
      <w:r>
        <w:rPr/>
        <w:t>Si demain nous fusionnons avec une ville comme Tournai, qui compte plusieurs dizaines de milliers d'habitants, le poids décisionnel du Bourgmestre de Mont-de-l'Enclus deviendra extrêmement faible. Lorsqu'il formulera une demande, il sera inévitablement dominé par le poids de la grande ville.</w:t>
      </w:r>
    </w:p>
    <w:p>
      <w:pPr>
        <w:pStyle w:val="Normal"/>
        <w:rPr/>
      </w:pPr>
      <w:r>
        <w:rPr/>
        <w:t>Je l'ai d'ailleurs signalé au ministre. J'ai toutefois l'impression qu'il se comporte un peu comme un pitbull : il a reçu pour mission de mener à bien la réforme du Gouvernement et il avance dans cette direction.</w:t>
      </w:r>
    </w:p>
    <w:p>
      <w:pPr>
        <w:pStyle w:val="Normal"/>
        <w:rPr/>
      </w:pPr>
      <w:r>
        <w:rPr/>
        <w:t>Aujourd'hui, la Belgique compte environ 180 zones de police. Son objectif est de les ramener à 60. Il a d'ailleurs déjà une idée très précise du futur découpage.</w:t>
      </w:r>
    </w:p>
    <w:p>
      <w:pPr>
        <w:pStyle w:val="Normal"/>
        <w:rPr/>
      </w:pPr>
      <w:r>
        <w:rPr/>
        <w:t>Il affirme que les fusions se feront sur une base volontaire. Toutefois, il faut savoir que, dans notre zone de police, 60 % du financement provient du fédéral et 40 % des communes. Les recettes d'une zone de police sont essentiellement constituées de ces dotations, puisqu'il s'agit d'un service public.</w:t>
      </w:r>
    </w:p>
    <w:p>
      <w:pPr>
        <w:pStyle w:val="Normal"/>
        <w:rPr/>
      </w:pPr>
      <w:r>
        <w:rPr/>
        <w:t>Le ministre nous a indiqué que, demain, la dotation fédérale serait calculée en fonction du nombre d'interventions réalisées par chaque zone de police.</w:t>
      </w:r>
    </w:p>
    <w:p>
      <w:pPr>
        <w:pStyle w:val="Normal"/>
        <w:rPr/>
      </w:pPr>
      <w:r>
        <w:rPr/>
        <w:t>Cela signifie que si nous décidons de maintenir la zone du Val de l'Escaut telle qu'elle existe aujourd'hui, la dotation fédérale diminuera. Le manque à gagner devra être compensé par les communes.</w:t>
      </w:r>
    </w:p>
    <w:p>
      <w:pPr>
        <w:pStyle w:val="Normal"/>
        <w:rPr/>
      </w:pPr>
      <w:r>
        <w:rPr/>
        <w:t>Or, nous connaissons tous la situation financière actuelle des communes. Elle est particulièrement difficile.</w:t>
      </w:r>
    </w:p>
    <w:p>
      <w:pPr>
        <w:pStyle w:val="Normal"/>
        <w:rPr/>
      </w:pPr>
      <w:r>
        <w:rPr/>
        <w:t>C'est pourquoi je considère que dire que les fusions seront volontaires n'est pas exact. En réalité, les communes n'auront plus le choix : soit elles fusionnent, soit elles devront supporter elles-mêmes une part beaucoup plus importante du financement de leur zone de police.</w:t>
      </w:r>
    </w:p>
    <w:p>
      <w:pPr>
        <w:pStyle w:val="Normal"/>
        <w:rPr/>
      </w:pPr>
      <w:r>
        <w:rPr/>
        <w:t>Je trouve donc le discours du ministre quelque peu hypocrite.</w:t>
      </w:r>
    </w:p>
    <w:p>
      <w:pPr>
        <w:pStyle w:val="Normal"/>
        <w:rPr/>
      </w:pPr>
      <w:r>
        <w:rPr/>
        <w:t>À Bruxelles, il a imposé la fusion des zones de police. Cette décision fait aujourd'hui l'objet d'un recours devant le Conseil d'État introduit par plusieurs Bourgmestres.</w:t>
      </w:r>
    </w:p>
    <w:p>
      <w:pPr>
        <w:pStyle w:val="Normal"/>
        <w:rPr/>
      </w:pPr>
      <w:r>
        <w:rPr/>
        <w:t>Pour les autres zones de police, il ne souhaite manifestement pas reproduire le même scénario. Il préfère modifier les critères de répartition de la dotation fédérale afin d'inciter fortement les zones à fusionner.</w:t>
      </w:r>
    </w:p>
    <w:p>
      <w:pPr>
        <w:pStyle w:val="Normal"/>
        <w:rPr/>
      </w:pPr>
      <w:r>
        <w:rPr/>
        <w:t>Le ministre souhaite finaliser cette réforme avant les congés d'été et mettre en œuvre la nouvelle répartition de la dotation fédérale au 1er janvier 2027. Si cela n'est pas possible, elle entrera en vigueur au 1er janvier 2028. Mais, dans son esprit, cette réforme doit intervenir très rapidement.</w:t>
      </w:r>
    </w:p>
    <w:p>
      <w:pPr>
        <w:pStyle w:val="Normal"/>
        <w:rPr/>
      </w:pPr>
      <w:r>
        <w:rPr/>
        <w:t>J'ai également réagi sur un autre point : l'organisation des événements.</w:t>
      </w:r>
    </w:p>
    <w:p>
      <w:pPr>
        <w:pStyle w:val="Normal"/>
        <w:rPr/>
      </w:pPr>
      <w:r>
        <w:rPr/>
        <w:t>Le ministre souhaite désormais limiter le rôle de la police à un rôle d'intervention. Cela signifie que la police interviendra uniquement lorsqu'un problème surviendra, mais qu'elle ne sera plus présente à titre préventif.</w:t>
      </w:r>
    </w:p>
    <w:p>
      <w:pPr>
        <w:pStyle w:val="Normal"/>
        <w:rPr/>
      </w:pPr>
      <w:r>
        <w:rPr/>
        <w:t>Concrètement, les organisateurs d'événements sportifs, festifs ou culturels devront recourir davantage à des sociétés privées de gardiennage.</w:t>
      </w:r>
    </w:p>
    <w:p>
      <w:pPr>
        <w:pStyle w:val="Normal"/>
        <w:rPr/>
      </w:pPr>
      <w:r>
        <w:rPr/>
        <w:t>Or, chacun sait que les prestations de gardiennage représentent un coût important. Il existe donc un risque réel de voir disparaître de nombreuses petites manifestations dans les villages, parce que les recettes de ces événements ne permettront jamais de couvrir les frais de sécurité.</w:t>
      </w:r>
    </w:p>
    <w:p>
      <w:pPr>
        <w:pStyle w:val="Normal"/>
        <w:rPr/>
      </w:pPr>
      <w:r>
        <w:rPr/>
        <w:t>Si vous organisez un événement de 500 personnes, il ne suffit pas d'un seul agent de sécurité. Plusieurs sont nécessaires. À raison d'environ 500 euros par agent, les coûts deviennent rapidement très importants.</w:t>
      </w:r>
    </w:p>
    <w:p>
      <w:pPr>
        <w:pStyle w:val="Normal"/>
        <w:rPr/>
      </w:pPr>
      <w:r>
        <w:rPr/>
        <w:t>Je trouve ces mesures particulièrement drastiques et injustes à l'égard de tous les bénévoles qui travaillent d'arrache-pied pour organiser des animations dans nos villages.</w:t>
      </w:r>
    </w:p>
    <w:p>
      <w:pPr>
        <w:pStyle w:val="Normal"/>
        <w:rPr/>
      </w:pPr>
      <w:r>
        <w:rPr/>
        <w:t>Il y aura donc une diminution des prestations actuellement assurées par la police. Ses missions seront recentrées sur l'intervention en cas de problème, et non plus sur la prévention.</w:t>
      </w:r>
    </w:p>
    <w:p>
      <w:pPr>
        <w:pStyle w:val="Normal"/>
        <w:rPr/>
      </w:pPr>
      <w:r>
        <w:rPr/>
        <w:t>Je prends l'exemple du carnaval des enfants : aujourd'hui, des policiers encadrent le cortège, sont présents aux carrefours et assurent la sécurité. Demain, ces missions devront probablement être confiées à des agents de gardiennage privés habilités.</w:t>
      </w:r>
    </w:p>
    <w:p>
      <w:pPr>
        <w:pStyle w:val="Normal"/>
        <w:rPr/>
      </w:pPr>
      <w:r>
        <w:rPr/>
        <w:t>Voilà, je vous ai dit exactement ce que j'ai expliqué lundi lors du Conseil de police. </w:t>
      </w:r>
    </w:p>
    <w:p>
      <w:pPr>
        <w:pStyle w:val="Normal"/>
        <w:rPr/>
      </w:pPr>
      <w:r>
        <w:rPr/>
        <w:t>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PodBulletItem"/>
        <w:numPr>
          <w:ilvl w:val="0"/>
          <w:numId w:val="6"/>
        </w:numPr>
        <w:tabs>
          <w:tab w:val="clear" w:pos="709"/>
          <w:tab w:val="left" w:pos="0" w:leader="none"/>
        </w:tabs>
        <w:ind w:left="922" w:hanging="461"/>
        <w:rPr/>
      </w:pPr>
      <w:r>
        <w:rPr/>
        <w:t>Publication du site internet communal </w:t>
      </w:r>
    </w:p>
    <w:p>
      <w:pPr>
        <w:pStyle w:val="Normal"/>
        <w:rPr/>
      </w:pPr>
      <w:r>
        <w:rPr/>
        <w:t>Il est actuellement encore en phase de test et nous comptons sur les retours constructifs de l'ensemble des conseillers pour qu'il soit pleinement opérationnel.</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 xml:space="preserve">OBJET N°3 : Modification budgétaire 1/2026 - service ordinaire et extraordinaire </w:t>
      </w:r>
    </w:p>
    <w:p>
      <w:pPr>
        <w:pStyle w:val="Normal"/>
        <w:tabs>
          <w:tab w:val="clear" w:pos="709"/>
        </w:tabs>
        <w:spacing w:before="0" w:after="0"/>
        <w:jc w:val="both"/>
        <w:rPr>
          <w:rFonts w:ascii="Calibri" w:hAnsi="Calibri"/>
        </w:rPr>
      </w:pPr>
      <w:r>
        <w:rPr>
          <w:rFonts w:ascii="Calibri" w:hAnsi="Calibri"/>
        </w:rPr>
      </w:r>
    </w:p>
    <w:p>
      <w:pPr>
        <w:pStyle w:val="Normal"/>
        <w:rPr/>
      </w:pPr>
      <w:r>
        <w:rPr>
          <w:rStyle w:val="RGl1pod"/>
        </w:rPr>
        <w:t>Service ordinaire </w:t>
      </w:r>
    </w:p>
    <w:p>
      <w:pPr>
        <w:pStyle w:val="Normal"/>
        <w:rPr/>
      </w:pPr>
      <w:r>
        <w:rPr>
          <w:rStyle w:val="RGl1pod"/>
        </w:rPr>
        <w:t>Madame Maes</w:t>
      </w:r>
    </w:p>
    <w:p>
      <w:pPr>
        <w:pStyle w:val="Normal"/>
        <w:rPr/>
      </w:pPr>
      <w:r>
        <w:rPr/>
        <w:t>Il y a un ajustement des crédits nécessaires au fonctionnement de l'administration communale. Comme je l'avais fait remarquer lors de l'élaboration du budget, je trouvais que les crédits en matières de formation de personnel n'étaient pas suffisants et je suis donc heureuse de voir que cela est rectifié ici Donc, bravo. Il y a aussi les évolutions de carrière, les changements d'échelle de carrière, des changements de grades, de D3 à D6 qui sont prévus. Donc, je pense que c'est une très bonne chose pour le personnel. Cela motive certainement. Par contre, j'étais assez interpellée par l'augmentation des 27.000 euros pour le matériel informatique, mais Madame l'Echevine vient de me donner l'explication. En frais d'avocat je ne vois qu'une augmentation de 500 euros et cela me paraît peu lorsqu'on connait les dossiers en cours, notamment au niveau de l'espace de sportif avec l’ascenseur. Donc, est-ce que, quelque part, vous trouvez que c'est suffisant, sachant quand même que 500 euros en plus, ce n'est pas beaucoup ? C'est juste une proposition. Je pense que, quelque part, avec 500 euros, chez un avocat, vous aurez deux heures de travail. Vous voulez donc faire aussi une étude des risques psychosociaux. C'est Très bien aussi. Ce que je vous demanderai quand même, c'est que l'on espère que les résultats seront mis en pratique. Alors, pour le reste, je n'ai rien d'autre à dire. En fait, pour l'ordinaire, ce sera tout. Merci.</w:t>
      </w:r>
    </w:p>
    <w:p>
      <w:pPr>
        <w:pStyle w:val="Normal"/>
        <w:rPr/>
      </w:pPr>
      <w:r>
        <w:rPr>
          <w:rStyle w:val="RGl1pod"/>
        </w:rPr>
        <w:t>Service Extraordinaire</w:t>
      </w:r>
    </w:p>
    <w:p>
      <w:pPr>
        <w:pStyle w:val="Normal"/>
        <w:rPr/>
      </w:pPr>
      <w:r>
        <w:rPr>
          <w:rStyle w:val="RGl1pod"/>
        </w:rPr>
        <w:t>Mme Hernould :</w:t>
      </w:r>
    </w:p>
    <w:p>
      <w:pPr>
        <w:pStyle w:val="Normal"/>
        <w:rPr/>
      </w:pPr>
      <w:r>
        <w:rPr/>
        <w:t>Pour la continuité des discussions sur le budget et la nécessité d'un financement en faveur de la mobilité, je souhaiterais attirer votre attention sur une mesure qui permettrait d'améliorer la sécurité des habitants à un coût relativement limité. Je sais que beaucoup de routes sont trop étroites pour accueillir de véritables pistes cyclables et que des aménagements plus importants représenteraient un coût conséquent. C'est pourquoi je me demande s'il ne serait pas intéressant d'envisager, là où cela est possible, des bandes cyclables suggérées sur certains grands axes de la commune. Ce type d'aménagement nécessite principalement du marquage au sol, pour un coût limité, tout en améliorant la visibilité et la sécurité des cyclistes, en particulier des enfants et des jeunes qui se déplacent à vélo. C'est également une manière d'encourager la mobilité douce et de renforcer l'attractivité touristique de notre commune, déjà très appréciée des cyclistes.</w:t>
      </w:r>
    </w:p>
    <w:p>
      <w:pPr>
        <w:pStyle w:val="Normal"/>
        <w:rPr/>
      </w:pPr>
      <w:r>
        <w:rPr/>
        <w:t>Le Collège pourrait-il étudier la possibilité d'identifier certains axes susceptibles d'accueillir ce type d'aménagement ? Serait-il envisageable de prévoir un budget lors d'une prochaine modification budgétaire afin d'étudier et de mettre progressivement en place des bandes cyclables suggérées sur certains axes de la commune ?</w:t>
      </w:r>
    </w:p>
    <w:p>
      <w:pPr>
        <w:pStyle w:val="Normal"/>
        <w:rPr/>
      </w:pPr>
      <w:r>
        <w:rPr>
          <w:rStyle w:val="RGl1pod"/>
        </w:rPr>
        <w:t>Le Bourgmestre :</w:t>
      </w:r>
    </w:p>
    <w:p>
      <w:pPr>
        <w:pStyle w:val="Normal"/>
        <w:rPr/>
      </w:pPr>
      <w:r>
        <w:rPr/>
        <w:t>Je vais vous répondre directement. Je suis d'abord étonné par la remarque que vous faites. Votre groupe a contesté, lors des discussions relatives à l'aménagement de la route d'Amougies et de la route d'Anserœul, un projet qui constitue pourtant un bel exemple en la matière. Nous avons aménagé cette voirie dans le cadre d'un appel à projets visant à favoriser la mobilité douce. Des pistes cyclables ont été créées de part et d'autre de la chaussée.</w:t>
      </w:r>
    </w:p>
    <w:p>
      <w:pPr>
        <w:pStyle w:val="Normal"/>
        <w:rPr/>
      </w:pPr>
      <w:r>
        <w:rPr/>
        <w:t>Il y a eu certains problèmes concernant la qualité du tarmac, mais ceux-ci sont désormais résolus. Nous attendons uniquement le marquage au sol afin de pouvoir ouvrir définitivement la route. Ce que je peux vous dire, c'est que les habitants de la route d'Amougies et de la route d'Anserœul ont vu leur cadre de vie considérablement s'améliorer. Entre la situation précédente et la situation actuelle, il y a une nette amélioration en matière de sécurité. Nous ne sommes plus face à une voirie où les véhicules roulent à une vitesse excessive. Les pistes cyclables constituent également une séparation qui apporte une sécurité supplémentaire aux riverains. Si vous interrogiez les riverains, je pense qu'ils sont relativement satisfaits des travaux. Lorsqu'on voit la réalisation des trottoirs et des différents aménagements, je crois que tout le monde est content. Nous n'avons peut-être pas les mêmes informations. Pour ma part, je peux vous assurer que les informations dont je dispose sont correctes. En ce qui concerne les pistes cyclables, je suis tout à fait d'accord avec votre objectif. Pourquoi avons-nous choisi la route d'Amougies et la route d'Anserœul ? Parce qu'il était possible de créer une véritable liaison cyclable entre la place d'Amougies, l'école d'Anserœul et la place d'Anserœul. Auparavant, la piste cyclable s'arrêtait à hauteur du lieu-dit concerné. Désormais, elle se prolonge jusqu'à la place d'Amougies. Il faut également savoir que les appels à projets relatifs à la rénovation des voiries sont aujourd'hui très souvent liés à la mobilité douce. C'est une nouvelle manière d'obtenir des subsides. Par contre, il faut aussi être conscient que ce type d'aménagement coûte extrêmement cher. Nous en avons fait l'expérience sur la route d'Amougies. Même un simple marquage au sol représente un coût très important. Nous ne parlons pas de quelques milliers d'euros, mais bien de plusieurs dizaines de milliers d'euros pour réaliser le marquage sur environ un kilomètre. Nous sommes donc attentifs à cette problématique et réceptifs à ce type de projet. En revanche, réaliser ce type d'aménagement entièrement sur fonds propres, sans subsides, est quasiment irréalisable dans la situation financière actuelle. On peut toujours rêver, mais, pour ma part, je préfère garder les deux pieds sur terre. Cela étant, nous ne perdons pas cet objectif de vue. Si l'Administration communale de Mont-de-l'Enclus a la possibilité d'introduire un dossier dans le cadre d'un appel à projets, nous le ferons. Je pense effectivement que nous accueillons énormément de cyclistes et que beaucoup d'enfants empruntent nos routes. Une piste cyclable constitue évidemment un élément important de sécurité. Ce que je regrette, en revanche, c'est que, malgré les aménagements réalisés sur la route d'Amougies et la route d'Anserœul, tous les cyclistes n'utilisent malheureusement pas les pistes cyclables. J'ai déjà demandé à la police d'être plus stricte à ce sujet. Par ailleurs, certains riverains stationnent encore leur véhicule sur les pistes cyclables. Je ne suis pas agent constatateur et je ne peux donc pas dresser de procès-verbal. Mais si cela ne tenait qu'à moi, il y aurait des contraventions à chaque infraction. On ne peut pas accepter que la commune investisse autant dans des aménagements de sécurité si ceux-ci ne sont pas respectés, que ce soit en matière de stationnement ou d'utilisation des pistes cyclables.</w:t>
      </w:r>
    </w:p>
    <w:p>
      <w:pPr>
        <w:pStyle w:val="Normal"/>
        <w:rPr/>
      </w:pPr>
      <w:r>
        <w:rPr>
          <w:rStyle w:val="RGl1pod"/>
        </w:rPr>
        <w:t>Mme Hernould :</w:t>
      </w:r>
    </w:p>
    <w:p>
      <w:pPr>
        <w:pStyle w:val="Normal"/>
        <w:rPr/>
      </w:pPr>
      <w:r>
        <w:rPr/>
        <w:t>Au niveau des marquages, il existe déjà certains rappels ponctuels. Ne pensez-vous pas qu'il serait possible d'aller plus loin avec des bandes cyclables suggérées, tout en maintenant la priorité des véhicules, cela permettrait malgré tout d'améliorer la sécurité.</w:t>
      </w:r>
    </w:p>
    <w:p>
      <w:pPr>
        <w:pStyle w:val="Normal"/>
        <w:rPr/>
      </w:pPr>
      <w:r>
        <w:rPr>
          <w:rStyle w:val="RGl1pod"/>
        </w:rPr>
        <w:t>Le Bourgmestre :</w:t>
      </w:r>
    </w:p>
    <w:p>
      <w:pPr>
        <w:pStyle w:val="Normal"/>
        <w:rPr/>
      </w:pPr>
      <w:r>
        <w:rPr/>
        <w:t>Il faut savoir qu'en matière de pistes cyclables, on ne peut pas les implanter n'importe où. Il existe des normes très précises, notamment en ce qui concerne les largeurs minimales à respecter par rapport aux trottoirs et à la chaussée. D'ailleurs, pour la réalisation de la piste cyclable de la route d'Anserœul, nous étions vraiment à la limite des dimensions autorisées. La chaussée n'était pas suffisamment large. À un moment donné, il avait même été envisagé de supprimer les places de stationnement situées sur le côté droit de la voirie afin de permettre l'aménagement des pistes cyclables. Nous avons refusé cette solution, car ces emplacements sont utiles, notamment lors des festivités organisées dans le village. Finalement, nous avons adapté le projet afin de conserver le plus grand nombre possible de places de stationnement.</w:t>
      </w:r>
    </w:p>
    <w:p>
      <w:pPr>
        <w:pStyle w:val="Normal"/>
        <w:rPr/>
      </w:pPr>
      <w:r>
        <w:rPr>
          <w:rStyle w:val="RGl1pod"/>
        </w:rPr>
        <w:t>Mme Hernould :</w:t>
      </w:r>
    </w:p>
    <w:p>
      <w:pPr>
        <w:pStyle w:val="Normal"/>
        <w:rPr/>
      </w:pPr>
      <w:r>
        <w:rPr/>
        <w:t>Les bandes cyclables suggérées laissent-elles la priorité aux véhicules ?</w:t>
      </w:r>
    </w:p>
    <w:p>
      <w:pPr>
        <w:pStyle w:val="Normal"/>
        <w:rPr/>
      </w:pPr>
      <w:r>
        <w:rPr>
          <w:rStyle w:val="RGl1pod"/>
        </w:rPr>
        <w:t>Le Bourgmestre :</w:t>
      </w:r>
    </w:p>
    <w:p>
      <w:pPr>
        <w:pStyle w:val="Normal"/>
        <w:rPr/>
      </w:pPr>
      <w:r>
        <w:rPr/>
        <w:t>Oui. Les bandes cyclables suggérées ne modifient pas les règles de priorité. Elles servent avant tout à rappeler la présence des cyclistes et à attirer l'attention des automobilistes. Il faut toutefois respecter les prescriptions techniques imposées par la réglementation. Par ailleurs, si vous prenez l'exemple de la route d'Amougies, vous constaterez que le revêtement posé sur la première partie ne tient pas encore parfaitement. Ce n'est pas dramatique, puisque les travaux sont toujours couverts par la garantie. En règle générale, les entreprises qui réalisent les marquages accordent une garantie de trois ans. Au-delà de cette période, les réparations sont à charge de la commune. Et, je le répète, ces marquages représentent un coût extrêmement important.</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le projet de modification budgétaire établi par le Collège Communal ;</w:t>
      </w:r>
    </w:p>
    <w:p>
      <w:pPr>
        <w:pStyle w:val="Normal"/>
        <w:rPr/>
      </w:pPr>
      <w:r>
        <w:rPr/>
        <w:t>Vu la constitution, notamment les articles 41 et 162 ;</w:t>
      </w:r>
      <w:r>
        <w:rPr>
          <w:rStyle w:val="RGl1pod"/>
        </w:rPr>
        <w:t> </w:t>
      </w:r>
    </w:p>
    <w:p>
      <w:pPr>
        <w:pStyle w:val="Normal"/>
        <w:rPr/>
      </w:pPr>
      <w:r>
        <w:rPr/>
        <w:t>Vu le Code de la Démocratie Locale et de la Décentralisation et notamment les articlesL1122-23, L1122-26, L1122-30 et Première partie, livre III ;</w:t>
      </w:r>
    </w:p>
    <w:p>
      <w:pPr>
        <w:pStyle w:val="Normal"/>
        <w:rPr/>
      </w:pPr>
      <w:r>
        <w:rPr/>
        <w:t>Vu l’Arrêté du Gouvernement Wallon du 05 juillet 2007 portant le Règlement sur la Comptabilité Communale en exécution de l’article L1315-1 du Code de la Démocratie Locale et de la Décentralisation;           </w:t>
      </w:r>
    </w:p>
    <w:p>
      <w:pPr>
        <w:pStyle w:val="Normal"/>
        <w:rPr/>
      </w:pPr>
      <w:r>
        <w:rPr/>
        <w:t>Vu le budget – services ordinaire et extraordinaire - de l’exercice 2026 arrêté par le Conseil Communal en séance du 22/12/2025 et approuvé par le Service Public de Wallonie,</w:t>
      </w:r>
    </w:p>
    <w:p>
      <w:pPr>
        <w:pStyle w:val="Normal"/>
        <w:rPr/>
      </w:pPr>
      <w:r>
        <w:rPr/>
        <w:t>Vu le projet de modification budgétaire n° 1 – services ordinaire et extraordinaire;</w:t>
      </w:r>
    </w:p>
    <w:p>
      <w:pPr>
        <w:pStyle w:val="Normal"/>
        <w:rPr/>
      </w:pPr>
      <w:r>
        <w:rPr/>
        <w:t>Considérant le rapport favorable de la Commission des Finances visée à l’article 12 du Règlement Général de la Comptabilité Communale qui s’est tenue le 04/06/2026 </w:t>
      </w:r>
    </w:p>
    <w:p>
      <w:pPr>
        <w:pStyle w:val="Normal"/>
        <w:rPr/>
      </w:pPr>
      <w:r>
        <w:rPr/>
        <w:t>Attendu que le Collège Communal veillera au respect des formalités de publications prescrites par l’article L1313-1 du Code de la Démocratie Locale et de la Décentralisation ;                    </w:t>
      </w:r>
    </w:p>
    <w:p>
      <w:pPr>
        <w:pStyle w:val="Normal"/>
        <w:rPr/>
      </w:pPr>
      <w:r>
        <w:rPr/>
        <w:t> </w:t>
      </w:r>
      <w:r>
        <w:rPr/>
        <w:t>Attendu que le Collège Communal veillera, en application de l’article L1122-23 du Code de la Démocratie Locale et de la Décentralisation, à la communication de la présente modification aux organisations syndicales représentatives et sur demande à une séance d’information de présentation et d’explications ;</w:t>
      </w:r>
    </w:p>
    <w:p>
      <w:pPr>
        <w:pStyle w:val="Normal"/>
        <w:rPr/>
      </w:pPr>
      <w:r>
        <w:rPr/>
        <w:t>Attendu la génération et l’envoi des prévisions budgétaires pluriannuelles ;</w:t>
      </w:r>
    </w:p>
    <w:p>
      <w:pPr>
        <w:pStyle w:val="Normal"/>
        <w:rPr/>
      </w:pPr>
      <w:r>
        <w:rPr/>
        <w:t>Considérant que certaines allocations prévues au budget doivent être révisées tant au service ordinaire qu’au service extraordinaire ;</w:t>
      </w:r>
    </w:p>
    <w:p>
      <w:pPr>
        <w:pStyle w:val="Normal"/>
        <w:rPr/>
      </w:pPr>
      <w:r>
        <w:rPr/>
        <w:t>Après en avoir délibéré en séance publique ;</w:t>
      </w:r>
    </w:p>
    <w:p>
      <w:pPr>
        <w:pStyle w:val="Normal"/>
        <w:rPr/>
      </w:pPr>
      <w:r>
        <w:rPr/>
        <w:t> </w:t>
      </w:r>
    </w:p>
    <w:p>
      <w:pPr>
        <w:pStyle w:val="Normal"/>
        <w:rPr/>
      </w:pPr>
      <w:r>
        <w:rPr>
          <w:rStyle w:val="RGl1pod"/>
        </w:rPr>
        <w:t xml:space="preserve">DECIDE : à l'unanimité pour le service ordinaire et </w:t>
      </w:r>
    </w:p>
    <w:p>
      <w:pPr>
        <w:pStyle w:val="Normal"/>
        <w:rPr/>
      </w:pPr>
      <w:r>
        <w:rPr>
          <w:rStyle w:val="RGl1pod"/>
        </w:rPr>
        <w:t>par 7 voix POUR et 2 voix CONTRE (Mme Maes et Mme Hernoud) et 1 ABSTENTION (Mr Vanhonacker) pour le service extraordinaire</w:t>
      </w:r>
    </w:p>
    <w:p>
      <w:pPr>
        <w:pStyle w:val="Normal"/>
        <w:rPr/>
      </w:pPr>
      <w:r>
        <w:rPr/>
        <w:t>- d’arrêter la modification budgétaire n° 1 – exercice 2026 adaptée comme suit :</w:t>
      </w:r>
    </w:p>
    <w:p>
      <w:pPr>
        <w:pStyle w:val="Normal"/>
        <w:rPr/>
      </w:pPr>
      <w:r>
        <w:rPr/>
        <w:t>Tableau récapitulatif :</w:t>
      </w:r>
    </w:p>
    <w:p>
      <w:pPr>
        <w:pStyle w:val="Normal"/>
        <w:rPr/>
      </w:pPr>
      <w:r>
        <w:rPr/>
        <w:t> </w:t>
      </w:r>
    </w:p>
    <w:tbl>
      <w:tblPr>
        <w:tblW w:w="5000" w:type="pct"/>
        <w:jc w:val="left"/>
        <w:tblInd w:w="0" w:type="dxa"/>
        <w:tblLayout w:type="fixed"/>
        <w:tblCellMar>
          <w:top w:w="57" w:type="dxa"/>
          <w:left w:w="57" w:type="dxa"/>
          <w:bottom w:w="57" w:type="dxa"/>
          <w:right w:w="57" w:type="dxa"/>
        </w:tblCellMar>
      </w:tblPr>
      <w:tblGrid>
        <w:gridCol w:w="4761"/>
        <w:gridCol w:w="2081"/>
        <w:gridCol w:w="2564"/>
      </w:tblGrid>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rStyle w:val="RGl1pod"/>
              </w:rPr>
              <w:t>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ORDINAIRE</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EXTRAORDINAIRE</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Recettes totales exercice proprement dit         </w:t>
            </w:r>
          </w:p>
          <w:p>
            <w:pPr>
              <w:pStyle w:val="Tablecell"/>
              <w:rPr/>
            </w:pPr>
            <w:r>
              <w:rPr/>
              <w:t>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5.755.659,52 €</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2.802.116,96 €</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Dépenses totales exercice proprement dit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5.643.916,10€</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2.854.443,80 €</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Boni exercice proprement dit                                             </w:t>
            </w:r>
          </w:p>
          <w:p>
            <w:pPr>
              <w:pStyle w:val="Tablecell"/>
              <w:rPr/>
            </w:pPr>
            <w:r>
              <w:rPr/>
              <w:t> </w:t>
            </w:r>
          </w:p>
          <w:p>
            <w:pPr>
              <w:pStyle w:val="Tablecell"/>
              <w:rPr/>
            </w:pPr>
            <w:r>
              <w:rPr/>
              <w:t>Mali  </w:t>
            </w:r>
          </w:p>
          <w:p>
            <w:pPr>
              <w:pStyle w:val="Tablecell"/>
              <w:rPr/>
            </w:pPr>
            <w:r>
              <w:rPr/>
              <w:t>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111.743,42 €</w:t>
            </w:r>
          </w:p>
          <w:p>
            <w:pPr>
              <w:pStyle w:val="Tablecell"/>
              <w:rPr/>
            </w:pPr>
            <w:r>
              <w:rPr/>
              <w:t> </w:t>
            </w:r>
          </w:p>
          <w:p>
            <w:pPr>
              <w:pStyle w:val="Tablecell"/>
              <w:rPr/>
            </w:pPr>
            <w:r>
              <w:rPr/>
              <w:t> </w:t>
            </w:r>
          </w:p>
          <w:p>
            <w:pPr>
              <w:pStyle w:val="Tablecell"/>
              <w:rPr/>
            </w:pPr>
            <w:r>
              <w:rPr/>
              <w:t> </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 </w:t>
            </w:r>
          </w:p>
          <w:p>
            <w:pPr>
              <w:pStyle w:val="Tablecell"/>
              <w:rPr/>
            </w:pPr>
            <w:r>
              <w:rPr/>
              <w:t> </w:t>
            </w:r>
            <w:r>
              <w:rPr/>
              <w:t>52.326,84 €</w:t>
            </w:r>
          </w:p>
          <w:p>
            <w:pPr>
              <w:pStyle w:val="Tablecell"/>
              <w:rPr/>
            </w:pPr>
            <w:r>
              <w:rPr/>
              <w:t> </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Recettes exercices antérieurs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r>
              <w:rPr/>
              <w:t>1.061.613,06 €</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361.079,90 € </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Dépenses exercices antérieurs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16.615,76 €</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r>
              <w:rPr/>
              <w:t>5.660,32€</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Prélèvements en recettes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0,00 €</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553.660,61 €</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Prélèvements en dépenses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r>
              <w:rPr/>
              <w:t>155.194,71 €</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63.833,59 €</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Recettes globales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6.817.272,58€</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3.716.857,47€</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Dépenses globales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5.815.726, 57€</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r>
              <w:rPr/>
              <w:t>2.923.937,71€</w:t>
            </w:r>
          </w:p>
        </w:tc>
      </w:tr>
      <w:tr>
        <w:trPr/>
        <w:tc>
          <w:tcPr>
            <w:tcW w:w="476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Boni global positif                                                   </w:t>
            </w:r>
          </w:p>
          <w:p>
            <w:pPr>
              <w:pStyle w:val="Tablecell"/>
              <w:rPr/>
            </w:pPr>
            <w:r>
              <w:rPr/>
              <w:t> </w:t>
            </w:r>
          </w:p>
          <w:p>
            <w:pPr>
              <w:pStyle w:val="Tablecell"/>
              <w:rPr/>
            </w:pPr>
            <w:r>
              <w:rPr/>
              <w:t> </w:t>
            </w:r>
          </w:p>
          <w:p>
            <w:pPr>
              <w:pStyle w:val="Tablecell"/>
              <w:rPr/>
            </w:pPr>
            <w:r>
              <w:rPr/>
              <w:t>Boni global négatif                                             </w:t>
            </w:r>
          </w:p>
        </w:tc>
        <w:tc>
          <w:tcPr>
            <w:tcW w:w="2081"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r>
              <w:rPr/>
              <w:t>1.001.546,01€</w:t>
            </w:r>
          </w:p>
          <w:p>
            <w:pPr>
              <w:pStyle w:val="Tablecell"/>
              <w:rPr/>
            </w:pPr>
            <w:r>
              <w:rPr/>
              <w:t> </w:t>
            </w:r>
          </w:p>
          <w:p>
            <w:pPr>
              <w:pStyle w:val="Tablecell"/>
              <w:rPr/>
            </w:pPr>
            <w:r>
              <w:rPr/>
              <w:t> </w:t>
            </w:r>
          </w:p>
        </w:tc>
        <w:tc>
          <w:tcPr>
            <w:tcW w:w="2564"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792.919,76€</w:t>
            </w:r>
          </w:p>
          <w:p>
            <w:pPr>
              <w:pStyle w:val="Tablecell"/>
              <w:rPr/>
            </w:pPr>
            <w:r>
              <w:rPr/>
              <w:t> </w:t>
            </w:r>
          </w:p>
        </w:tc>
      </w:tr>
    </w:tbl>
    <w:p>
      <w:pPr>
        <w:pStyle w:val="Normal"/>
        <w:rPr/>
      </w:pPr>
      <w:r>
        <w:rPr/>
        <w:t> </w:t>
      </w:r>
    </w:p>
    <w:p>
      <w:pPr>
        <w:pStyle w:val="Normal"/>
        <w:rPr/>
      </w:pPr>
      <w:r>
        <w:rPr/>
        <w:t>ainsi que le tableau des prévisions budgétaires pluriannuelles</w:t>
      </w:r>
    </w:p>
    <w:p>
      <w:pPr>
        <w:pStyle w:val="Normal"/>
        <w:rPr/>
      </w:pPr>
      <w:r>
        <w:rPr/>
        <w:t> </w:t>
      </w:r>
    </w:p>
    <w:p>
      <w:pPr>
        <w:pStyle w:val="Normal"/>
        <w:rPr/>
      </w:pPr>
      <w:r>
        <w:rPr>
          <w:rStyle w:val="RGl1pod"/>
        </w:rPr>
        <w:t>Art. 2 : </w:t>
      </w:r>
      <w:r>
        <w:rPr/>
        <w:t>de transmettre la présente délibération et ses annexes aux autorités de tutelle, au service des Finances et au Receveur Régional.</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N°4 : Redevance Inscriptions – Runs et Trail - Exercice 2026 ; décision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la Constitution, les articles 41, 162 et 173 ;</w:t>
      </w:r>
    </w:p>
    <w:p>
      <w:pPr>
        <w:pStyle w:val="Normal"/>
        <w:rPr/>
      </w:pPr>
      <w:r>
        <w:rPr/>
        <w:t> </w:t>
      </w:r>
    </w:p>
    <w:p>
      <w:pPr>
        <w:pStyle w:val="Normal"/>
        <w:rPr/>
      </w:pPr>
      <w:r>
        <w:rPr/>
        <w:t>Vu le code de la Démocratie Locale et de la Décentralisation et notamment les articles L1122-30,L1232-32, L1133-1 et 2, L3131-1§1er 3° et L3132-1 ;</w:t>
      </w:r>
    </w:p>
    <w:p>
      <w:pPr>
        <w:pStyle w:val="Normal"/>
        <w:rPr/>
      </w:pPr>
      <w:r>
        <w:rPr/>
        <w:t> </w:t>
      </w:r>
    </w:p>
    <w:p>
      <w:pPr>
        <w:pStyle w:val="Normal"/>
        <w:rPr/>
      </w:pPr>
      <w:r>
        <w:rPr/>
        <w:t>Vu les recommandations émises par la circulaire du 11 septembre 2025 relative à l’élaboration des budgets des communes de la Région wallonne, pour l’année 2026 ;</w:t>
      </w:r>
    </w:p>
    <w:p>
      <w:pPr>
        <w:pStyle w:val="Normal"/>
        <w:rPr/>
      </w:pPr>
      <w:r>
        <w:rPr/>
        <w:t> </w:t>
      </w:r>
    </w:p>
    <w:p>
      <w:pPr>
        <w:pStyle w:val="Normal"/>
        <w:rPr/>
      </w:pPr>
      <w:r>
        <w:rPr/>
        <w:t>Vu les dispositions légales et règlementaires en vigueur en matière d'établissement et de recouvrement des redevances communales ;</w:t>
      </w:r>
    </w:p>
    <w:p>
      <w:pPr>
        <w:pStyle w:val="Normal"/>
        <w:rPr/>
      </w:pPr>
      <w:r>
        <w:rPr/>
        <w:t> </w:t>
      </w:r>
    </w:p>
    <w:p>
      <w:pPr>
        <w:pStyle w:val="Normal"/>
        <w:rPr/>
      </w:pPr>
      <w:r>
        <w:rPr/>
        <w:t>Considérant que dans le cadre des activités prévues le week-end du 12 et 13 décembre 2026, différentes courses à pied seront organisées ;</w:t>
      </w:r>
    </w:p>
    <w:p>
      <w:pPr>
        <w:pStyle w:val="Normal"/>
        <w:rPr/>
      </w:pPr>
      <w:r>
        <w:rPr/>
        <w:t> </w:t>
      </w:r>
    </w:p>
    <w:p>
      <w:pPr>
        <w:pStyle w:val="Normal"/>
        <w:rPr/>
      </w:pPr>
      <w:r>
        <w:rPr/>
        <w:t>Considérant qu’une inscription sera demandée à chaque participant et que l’intégralité de ces inscriptions sera reversée à VIVA FOR LIFE ;</w:t>
      </w:r>
    </w:p>
    <w:p>
      <w:pPr>
        <w:pStyle w:val="Normal"/>
        <w:rPr/>
      </w:pPr>
      <w:r>
        <w:rPr/>
        <w:t> </w:t>
      </w:r>
    </w:p>
    <w:p>
      <w:pPr>
        <w:pStyle w:val="Normal"/>
        <w:rPr/>
      </w:pPr>
      <w:r>
        <w:rPr/>
        <w:t>Considérant qu’il y a lieu de fixer les montants des inscriptions ;</w:t>
      </w:r>
    </w:p>
    <w:p>
      <w:pPr>
        <w:pStyle w:val="Normal"/>
        <w:rPr/>
      </w:pPr>
      <w:r>
        <w:rPr>
          <w:rStyle w:val="RGl1pod"/>
        </w:rPr>
        <w:t>DECIDE : à l'unanimité</w:t>
      </w:r>
    </w:p>
    <w:p>
      <w:pPr>
        <w:pStyle w:val="Normal"/>
        <w:rPr/>
      </w:pPr>
      <w:r>
        <w:rPr>
          <w:rStyle w:val="RGl1pod"/>
        </w:rPr>
        <w:t>        </w:t>
      </w:r>
    </w:p>
    <w:p>
      <w:pPr>
        <w:pStyle w:val="Normal"/>
        <w:rPr/>
      </w:pPr>
      <w:r>
        <w:rPr>
          <w:rStyle w:val="RGl3pod"/>
        </w:rPr>
        <w:t>Article premier</w:t>
      </w:r>
      <w:r>
        <w:rPr>
          <w:rStyle w:val="RGl1pod"/>
        </w:rPr>
        <w:t xml:space="preserve"> : </w:t>
      </w:r>
      <w:r>
        <w:rPr/>
        <w:t>d’établir une redevance dans le cadre de l’organisation de courses à pied prévues le week-end du 12 et 13 décembre 2026 ;</w:t>
      </w:r>
    </w:p>
    <w:p>
      <w:pPr>
        <w:pStyle w:val="Normal"/>
        <w:rPr/>
      </w:pPr>
      <w:r>
        <w:rPr/>
        <w:t> </w:t>
      </w:r>
    </w:p>
    <w:p>
      <w:pPr>
        <w:pStyle w:val="Normal"/>
        <w:rPr/>
      </w:pPr>
      <w:r>
        <w:rPr>
          <w:rStyle w:val="RGl3pod"/>
        </w:rPr>
        <w:t>Art. 2 </w:t>
      </w:r>
      <w:r>
        <w:rPr/>
        <w:t>: La redevance est due par la personne qui sollicite sa participation à la course;</w:t>
      </w:r>
    </w:p>
    <w:p>
      <w:pPr>
        <w:pStyle w:val="Normal"/>
        <w:rPr/>
      </w:pPr>
      <w:r>
        <w:rPr/>
        <w:t> </w:t>
      </w:r>
    </w:p>
    <w:p>
      <w:pPr>
        <w:pStyle w:val="Normal"/>
        <w:rPr/>
      </w:pPr>
      <w:r>
        <w:rPr>
          <w:rStyle w:val="RGl3pod"/>
        </w:rPr>
        <w:t>Art. 3</w:t>
      </w:r>
      <w:r>
        <w:rPr/>
        <w:t> : Le montant de la redevance est fixé comme suit :</w:t>
      </w:r>
    </w:p>
    <w:p>
      <w:pPr>
        <w:pStyle w:val="PodBulletItem"/>
        <w:numPr>
          <w:ilvl w:val="1"/>
          <w:numId w:val="2"/>
        </w:numPr>
        <w:tabs>
          <w:tab w:val="clear" w:pos="709"/>
          <w:tab w:val="left" w:pos="0" w:leader="none"/>
        </w:tabs>
        <w:ind w:left="1383" w:hanging="461"/>
        <w:rPr/>
      </w:pPr>
      <w:r>
        <w:rPr/>
        <w:t>Kids Run ; 2€</w:t>
      </w:r>
    </w:p>
    <w:p>
      <w:pPr>
        <w:pStyle w:val="PodBulletItem"/>
        <w:numPr>
          <w:ilvl w:val="1"/>
          <w:numId w:val="2"/>
        </w:numPr>
        <w:tabs>
          <w:tab w:val="clear" w:pos="709"/>
          <w:tab w:val="left" w:pos="0" w:leader="none"/>
        </w:tabs>
        <w:ind w:left="1383" w:hanging="461"/>
        <w:rPr/>
      </w:pPr>
      <w:r>
        <w:rPr/>
        <w:t>Run :  </w:t>
      </w:r>
    </w:p>
    <w:p>
      <w:pPr>
        <w:pStyle w:val="PodBulletItem"/>
        <w:numPr>
          <w:ilvl w:val="2"/>
          <w:numId w:val="7"/>
        </w:numPr>
        <w:tabs>
          <w:tab w:val="clear" w:pos="709"/>
          <w:tab w:val="left" w:pos="0" w:leader="none"/>
        </w:tabs>
        <w:ind w:left="1843" w:hanging="461"/>
        <w:rPr/>
      </w:pPr>
      <w:r>
        <w:rPr/>
        <w:t>5€ en prévente sur le compte communal</w:t>
      </w:r>
    </w:p>
    <w:p>
      <w:pPr>
        <w:pStyle w:val="PodBulletItem"/>
        <w:numPr>
          <w:ilvl w:val="2"/>
          <w:numId w:val="8"/>
        </w:numPr>
        <w:tabs>
          <w:tab w:val="clear" w:pos="709"/>
          <w:tab w:val="left" w:pos="0" w:leader="none"/>
        </w:tabs>
        <w:ind w:left="1843" w:hanging="461"/>
        <w:rPr/>
      </w:pPr>
      <w:r>
        <w:rPr/>
        <w:t>7€ sur place</w:t>
      </w:r>
    </w:p>
    <w:p>
      <w:pPr>
        <w:pStyle w:val="PodBulletItem"/>
        <w:numPr>
          <w:ilvl w:val="0"/>
          <w:numId w:val="2"/>
        </w:numPr>
        <w:tabs>
          <w:tab w:val="clear" w:pos="709"/>
          <w:tab w:val="left" w:pos="0" w:leader="none"/>
        </w:tabs>
        <w:ind w:left="922" w:hanging="461"/>
        <w:rPr/>
      </w:pPr>
      <w:r>
        <w:rPr/>
        <w:t>Trail :</w:t>
      </w:r>
    </w:p>
    <w:p>
      <w:pPr>
        <w:pStyle w:val="PodBulletItem"/>
        <w:numPr>
          <w:ilvl w:val="1"/>
          <w:numId w:val="9"/>
        </w:numPr>
        <w:tabs>
          <w:tab w:val="clear" w:pos="709"/>
          <w:tab w:val="left" w:pos="0" w:leader="none"/>
        </w:tabs>
        <w:ind w:left="1383" w:hanging="461"/>
        <w:rPr/>
      </w:pPr>
      <w:r>
        <w:rPr/>
        <w:t>10€ en prévente sur le compte communal</w:t>
      </w:r>
    </w:p>
    <w:p>
      <w:pPr>
        <w:pStyle w:val="PodBulletItem"/>
        <w:numPr>
          <w:ilvl w:val="1"/>
          <w:numId w:val="10"/>
        </w:numPr>
        <w:tabs>
          <w:tab w:val="clear" w:pos="709"/>
          <w:tab w:val="left" w:pos="0" w:leader="none"/>
        </w:tabs>
        <w:ind w:left="1383" w:hanging="461"/>
        <w:rPr/>
      </w:pPr>
      <w:r>
        <w:rPr/>
        <w:t>12€ sur place</w:t>
      </w:r>
    </w:p>
    <w:p>
      <w:pPr>
        <w:pStyle w:val="Normal"/>
        <w:rPr/>
      </w:pPr>
      <w:r>
        <w:rPr/>
        <w:t> </w:t>
      </w:r>
    </w:p>
    <w:p>
      <w:pPr>
        <w:pStyle w:val="Normal"/>
        <w:rPr/>
      </w:pPr>
      <w:r>
        <w:rPr>
          <w:rStyle w:val="RGl3pod"/>
        </w:rPr>
        <w:t>Art. 4</w:t>
      </w:r>
      <w:r>
        <w:rPr/>
        <w:t> : La redevance est payable soit sur le compte communal au tarif « préventes » soit au comptant le jour même au tarif « sur place »</w:t>
      </w:r>
    </w:p>
    <w:p>
      <w:pPr>
        <w:pStyle w:val="Normal"/>
        <w:rPr/>
      </w:pPr>
      <w:r>
        <w:rPr/>
        <w:t> </w:t>
      </w:r>
    </w:p>
    <w:p>
      <w:pPr>
        <w:pStyle w:val="Normal"/>
        <w:rPr/>
      </w:pPr>
      <w:r>
        <w:rPr>
          <w:rStyle w:val="RGl3pod"/>
        </w:rPr>
        <w:t>Article 5</w:t>
      </w:r>
      <w:r>
        <w:rPr/>
        <w:t> : Le recouvrement s’effectuera selon les règles de l’article L1124-40 §1</w:t>
      </w:r>
      <w:r>
        <w:rPr>
          <w:rStyle w:val="RGl4pod"/>
        </w:rPr>
        <w:t>er</w:t>
      </w:r>
      <w:r>
        <w:rPr/>
        <w:t> du Code de la Démocratie locale et de la Décentralisation.</w:t>
      </w:r>
    </w:p>
    <w:p>
      <w:pPr>
        <w:pStyle w:val="Normal"/>
        <w:rPr/>
      </w:pPr>
      <w:r>
        <w:rPr/>
        <w:t> </w:t>
      </w:r>
    </w:p>
    <w:p>
      <w:pPr>
        <w:pStyle w:val="Normal"/>
        <w:rPr/>
      </w:pPr>
      <w:r>
        <w:rPr>
          <w:rStyle w:val="RGl3pod"/>
        </w:rPr>
        <w:t>Article 6 </w:t>
      </w:r>
      <w:r>
        <w:rPr>
          <w:rStyle w:val="RGl5pod"/>
        </w:rPr>
        <w:t>: </w:t>
      </w:r>
      <w:r>
        <w:rPr/>
        <w:t>Le traitement de données à caractère personnel nécessaire à la mise en œuvre du présent règlement se fera suivant les règles suivantes :</w:t>
      </w:r>
    </w:p>
    <w:p>
      <w:pPr>
        <w:pStyle w:val="Normal"/>
        <w:rPr/>
      </w:pPr>
      <w:r>
        <w:rPr/>
        <w:t>-    Responsable de traitement : la Commune de Mont-de-l'Enclus ;</w:t>
      </w:r>
    </w:p>
    <w:p>
      <w:pPr>
        <w:pStyle w:val="Normal"/>
        <w:rPr/>
      </w:pPr>
      <w:r>
        <w:rPr/>
        <w:t>-    Finalité du traitement : établissement et recouvrement de la redevance ;</w:t>
      </w:r>
    </w:p>
    <w:p>
      <w:pPr>
        <w:pStyle w:val="Normal"/>
        <w:rPr/>
      </w:pPr>
      <w:r>
        <w:rPr/>
        <w:t>-    Catégorie de données : données d’identification ;</w:t>
      </w:r>
    </w:p>
    <w:p>
      <w:pPr>
        <w:pStyle w:val="Normal"/>
        <w:rPr/>
      </w:pPr>
      <w:r>
        <w:rPr/>
        <w:t>-    Durée de conservation : la Commune s’engage à conserver les données pour un délai de10 ans et à les supprimer par la suite ou à les transférer aux archives de l’Etat ;</w:t>
      </w:r>
    </w:p>
    <w:p>
      <w:pPr>
        <w:pStyle w:val="Normal"/>
        <w:rPr/>
      </w:pPr>
      <w:r>
        <w:rPr/>
        <w:t>-    Méthode de collecte : recensement effectué par l'Administration communale ;</w:t>
      </w:r>
    </w:p>
    <w:p>
      <w:pPr>
        <w:pStyle w:val="Normal"/>
        <w:rPr/>
      </w:pPr>
      <w:r>
        <w:rPr/>
        <w:t>-    Communication des données : les données ne seront communiquées qu’à des tiers autorisés par où en vertu de la loi, notamment en application de l’article 327 du CIR92, ou à des sous-traitants de la Commune.</w:t>
      </w:r>
    </w:p>
    <w:p>
      <w:pPr>
        <w:pStyle w:val="Normal"/>
        <w:rPr/>
      </w:pPr>
      <w:r>
        <w:rPr/>
        <w:t> </w:t>
      </w:r>
    </w:p>
    <w:p>
      <w:pPr>
        <w:pStyle w:val="Normal"/>
        <w:rPr/>
      </w:pPr>
      <w:r>
        <w:rPr>
          <w:rStyle w:val="RGl3pod"/>
        </w:rPr>
        <w:t>Article 7</w:t>
      </w:r>
      <w:r>
        <w:rPr>
          <w:rStyle w:val="RGl5pod"/>
        </w:rPr>
        <w:t> : </w:t>
      </w:r>
      <w:r>
        <w:rPr/>
        <w:t>Le présent règlement sera transmis au Gouvernement wallon conformément aux articles L3131-1 et suivants du Code de la Démocratie Locale et de la Décentralisation pour exercice de la tutelle spéciale d’approbation.</w:t>
      </w:r>
    </w:p>
    <w:p>
      <w:pPr>
        <w:pStyle w:val="Normal"/>
        <w:rPr/>
      </w:pPr>
      <w:r>
        <w:rPr/>
        <w:t> </w:t>
      </w:r>
    </w:p>
    <w:p>
      <w:pPr>
        <w:pStyle w:val="Normal"/>
        <w:rPr/>
      </w:pPr>
      <w:r>
        <w:rPr>
          <w:rStyle w:val="RGl3pod"/>
        </w:rPr>
        <w:t>Article 8</w:t>
      </w:r>
      <w:r>
        <w:rPr>
          <w:rStyle w:val="RGl5pod"/>
        </w:rPr>
        <w:t> : </w:t>
      </w:r>
      <w:r>
        <w:rPr/>
        <w:t>Le présent règlement entrera en vigueur après accomplissement des formalités de la publication faites conformément aux articles L1133-1 et 2 du Code de la Démocratie Locale et de la Décentralisation.</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 xml:space="preserve">OBJET N°5 : Travaux de réfection du chemin du pont au chemin du Carnois à Anseroeul : approbation des conditions et du mode de passation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et ses modifications ultérieures, notamment l'article L1222-3 §1 relatif aux compétences du Conseil communal et les articles L3111-1 et suivants relatifs à la tutelle ;</w:t>
      </w:r>
    </w:p>
    <w:p>
      <w:pPr>
        <w:pStyle w:val="Normal"/>
        <w:rPr/>
      </w:pPr>
      <w:r>
        <w:rPr/>
        <w:t>Vu la loi du 17 juin 2013 relative à la motivation, à l'information et aux voies de recours en matière de marchés publics, de certains marchés de travaux, de fournitures et de services et de concessions et ses modifications ultérieures ;</w:t>
      </w:r>
    </w:p>
    <w:p>
      <w:pPr>
        <w:pStyle w:val="Normal"/>
        <w:rPr/>
      </w:pPr>
      <w:r>
        <w:rPr/>
        <w:t>Vu la loi du 17 juin 2016 relative aux marchés publics et ses modifications ultérieures, notamment l’article 42, § 1, 1° a) (la dépense à approuver HTVA n'atteint pas le seuil de 140.000,00 €) ;</w:t>
      </w:r>
    </w:p>
    <w:p>
      <w:pPr>
        <w:pStyle w:val="Normal"/>
        <w:rPr/>
      </w:pPr>
      <w:r>
        <w:rPr/>
        <w:t>Vu l'arrêté royal du 14 janvier 2013 établissant les règles générales d'exécution des marchés publics et ses modifications ultérieures ;</w:t>
      </w:r>
    </w:p>
    <w:p>
      <w:pPr>
        <w:pStyle w:val="Normal"/>
        <w:rPr/>
      </w:pPr>
      <w:r>
        <w:rPr/>
        <w:t>Vu l'arrêté royal du 18 avril 2017 relatif à la passation des marchés publics dans les secteurs classiques et ses modifications ultérieures, notamment l'article 90, 1° ;</w:t>
      </w:r>
    </w:p>
    <w:p>
      <w:pPr>
        <w:pStyle w:val="Normal"/>
        <w:rPr/>
      </w:pPr>
      <w:r>
        <w:rPr/>
        <w:t>Considérant le cahier des charges N° PROJET N°20260024 relatif au marché “TRAVAUX DE REFECTION DU PONT AU CHEMIN DU CARNOIS A ANSEROEUL” établi par HIT, auteur de projet;</w:t>
      </w:r>
    </w:p>
    <w:p>
      <w:pPr>
        <w:pStyle w:val="Normal"/>
        <w:rPr/>
      </w:pPr>
      <w:r>
        <w:rPr/>
        <w:t>Considérant que le montant estimé de ce marché s'élève à 75.952,30 € hors TVA ou 91.902,28 €, 21% TVA comprise ;</w:t>
      </w:r>
    </w:p>
    <w:p>
      <w:pPr>
        <w:pStyle w:val="Normal"/>
        <w:rPr/>
      </w:pPr>
      <w:r>
        <w:rPr/>
        <w:t>Considérant qu'il est proposé de passer le marché par procédure négociée sans publication préalable ;</w:t>
      </w:r>
    </w:p>
    <w:p>
      <w:pPr>
        <w:pStyle w:val="Normal"/>
        <w:rPr/>
      </w:pPr>
      <w:r>
        <w:rPr/>
        <w:t>Considérant que le crédit permettant cette dépense est inscrit au budget extraordinaire de l’exercice 2026, article 421/731-60 et sera financé par emprunt ;</w:t>
      </w:r>
    </w:p>
    <w:p>
      <w:pPr>
        <w:pStyle w:val="Normal"/>
        <w:rPr/>
      </w:pPr>
      <w:r>
        <w:rPr/>
        <w:t> </w:t>
      </w:r>
    </w:p>
    <w:p>
      <w:pPr>
        <w:pStyle w:val="Normal"/>
        <w:rPr/>
      </w:pPr>
      <w:r>
        <w:rPr>
          <w:rStyle w:val="RGl1pod"/>
        </w:rPr>
        <w:t>DECIDE : à l'unanimité</w:t>
      </w:r>
    </w:p>
    <w:p>
      <w:pPr>
        <w:pStyle w:val="RGl6pod"/>
        <w:rPr/>
      </w:pPr>
      <w:r>
        <w:rPr>
          <w:rStyle w:val="RGl1pod"/>
        </w:rPr>
        <w:t xml:space="preserve">Article 1er : </w:t>
      </w:r>
      <w:r>
        <w:rPr/>
        <w:t>de marquer son accord de principe sur les travaux de réfection du pont au chemin du Carnois à Anseroeul ;</w:t>
      </w:r>
    </w:p>
    <w:p>
      <w:pPr>
        <w:pStyle w:val="RGl6pod"/>
        <w:rPr/>
      </w:pPr>
      <w:r>
        <w:rPr>
          <w:rStyle w:val="RGl1pod"/>
        </w:rPr>
        <w:t>Article 2 :</w:t>
      </w:r>
      <w:r>
        <w:rPr/>
        <w:t xml:space="preserve"> d'approuver le cahier des charges N° PROJET N°20260024 et le montant estimé du marché “TRAVAUX DE REFECTION DU PONT AUN CHEMIN DU CARNOIS A ANSEROEUL”, établis par HIT. Les conditions sont fixées comme prévu au cahier des charges et par les règles générales d'exécution des marchés publics. Le montant estimé s'élève à 75.952,30 € hors TVA ou 91.902,28 €, 21% TVA comprise.</w:t>
      </w:r>
    </w:p>
    <w:p>
      <w:pPr>
        <w:pStyle w:val="RGl6pod"/>
        <w:rPr/>
      </w:pPr>
      <w:r>
        <w:rPr>
          <w:rStyle w:val="RGl1pod"/>
        </w:rPr>
        <w:t xml:space="preserve">Article 3 : </w:t>
      </w:r>
      <w:r>
        <w:rPr/>
        <w:t>de passer le marché par la procédure négociée sans publication préalable.</w:t>
      </w:r>
    </w:p>
    <w:p>
      <w:pPr>
        <w:pStyle w:val="RGl6pod"/>
        <w:rPr/>
      </w:pPr>
      <w:r>
        <w:rPr>
          <w:rStyle w:val="RGl1pod"/>
        </w:rPr>
        <w:t>Article 4 :</w:t>
      </w:r>
      <w:r>
        <w:rPr/>
        <w:t xml:space="preserve"> de charger le Collège Communal de la passation du marché ;</w:t>
      </w:r>
    </w:p>
    <w:p>
      <w:pPr>
        <w:pStyle w:val="RGl6pod"/>
        <w:rPr/>
      </w:pPr>
      <w:r>
        <w:rPr>
          <w:rStyle w:val="RGl1pod"/>
        </w:rPr>
        <w:t xml:space="preserve">Article 5 : </w:t>
      </w:r>
      <w:r>
        <w:rPr/>
        <w:t>de financer cette dépense par le crédit inscrit au budget extraordinaire de l’exercice 2026, article 421/731-60 (projet n°20260024)</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N°6 : Avis communal relatif aux propositions de connexions des centralités villageoises et à la localisation des mobipôles dans le cadre du Schéma Régional Structurant de Mobilité Collective</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RGl6pod"/>
        <w:rPr/>
      </w:pPr>
      <w:r>
        <w:rPr/>
        <w:t>Vu le Code de la Démocratie Locale et de la Décentralisation ;</w:t>
      </w:r>
    </w:p>
    <w:p>
      <w:pPr>
        <w:pStyle w:val="RGl6pod"/>
        <w:rPr/>
      </w:pPr>
      <w:r>
        <w:rPr/>
        <w:t>Vu le Schéma de Développement Territorial adopté par le Gouvernement wallon ;</w:t>
      </w:r>
    </w:p>
    <w:p>
      <w:pPr>
        <w:pStyle w:val="RGl6pod"/>
        <w:rPr/>
      </w:pPr>
      <w:r>
        <w:rPr/>
        <w:t>Vu le décret relatif au service de transport public de personnes en Région wallonne ;</w:t>
      </w:r>
    </w:p>
    <w:p>
      <w:pPr>
        <w:pStyle w:val="RGl6pod"/>
        <w:rPr/>
      </w:pPr>
      <w:r>
        <w:rPr/>
        <w:t>Considérant que l’Autorité Organisatrice du Transport (AOT) organise semestriellement les réunions des Organes de Consultation des Bassins de Mobilité, chargés d’émettre des recommandations relatives à l’évolution de l’offre de mobilité collective et partagée ;</w:t>
      </w:r>
    </w:p>
    <w:p>
      <w:pPr>
        <w:pStyle w:val="RGl6pod"/>
        <w:rPr/>
      </w:pPr>
      <w:r>
        <w:rPr/>
        <w:t>Considérant que le Schéma Régional Structurant de Mobilité Collective (SRSMC) vise à développer un réseau de transport public cohérent, performant et adapté aux besoins de déplacement de la population ;</w:t>
      </w:r>
    </w:p>
    <w:p>
      <w:pPr>
        <w:pStyle w:val="RGl6pod"/>
        <w:rPr/>
      </w:pPr>
      <w:r>
        <w:rPr/>
        <w:t>Considérant que les communes sont invitées à se prononcer sur les propositions de connexion de leurs centralités villageoises au réseau structurant ainsi que sur la localisation des mobipôles ;</w:t>
      </w:r>
    </w:p>
    <w:p>
      <w:pPr>
        <w:pStyle w:val="RGl6pod"/>
        <w:rPr/>
      </w:pPr>
      <w:r>
        <w:rPr/>
        <w:t>Considérant que le Schéma de Développement Territorial identifie le cœur du village d’Amougies comme centralité villageoise de la commune de Mont-de-l’Enclus ;</w:t>
      </w:r>
    </w:p>
    <w:p>
      <w:pPr>
        <w:pStyle w:val="RGl6pod"/>
        <w:rPr/>
      </w:pPr>
      <w:r>
        <w:rPr/>
        <w:t>Considérant qu’aucune liaison structurante ferroviaire ou de bus n’est actuellement prévue sur le territoire communal dans le projet de Schéma Régional Structurant de Mobilité Collective ; </w:t>
      </w:r>
    </w:p>
    <w:p>
      <w:pPr>
        <w:pStyle w:val="RGl6pod"/>
        <w:rPr/>
      </w:pPr>
      <w:r>
        <w:rPr/>
        <w:t>Considérant que le projet prévoit, pour la centralité villageoise de Mont-de-l’Enclus :</w:t>
      </w:r>
    </w:p>
    <w:p>
      <w:pPr>
        <w:pStyle w:val="RGl7pod"/>
        <w:numPr>
          <w:ilvl w:val="0"/>
          <w:numId w:val="11"/>
        </w:numPr>
        <w:tabs>
          <w:tab w:val="clear" w:pos="709"/>
          <w:tab w:val="left" w:pos="0" w:leader="none"/>
        </w:tabs>
        <w:ind w:left="922" w:hanging="461"/>
        <w:rPr/>
      </w:pPr>
      <w:r>
        <w:rPr/>
        <w:t>une connexion prioritaire de niveau D1 vers la ville de Renaix ;</w:t>
      </w:r>
    </w:p>
    <w:p>
      <w:pPr>
        <w:pStyle w:val="RGl7pod"/>
        <w:numPr>
          <w:ilvl w:val="0"/>
          <w:numId w:val="11"/>
        </w:numPr>
        <w:tabs>
          <w:tab w:val="clear" w:pos="709"/>
          <w:tab w:val="left" w:pos="0" w:leader="none"/>
        </w:tabs>
        <w:ind w:left="922" w:hanging="461"/>
        <w:rPr/>
      </w:pPr>
      <w:r>
        <w:rPr/>
        <w:t>une connexion prioritaire de niveau D2 vers la ville de Tournai ;</w:t>
      </w:r>
    </w:p>
    <w:p>
      <w:pPr>
        <w:pStyle w:val="RGl6pod"/>
        <w:rPr/>
      </w:pPr>
      <w:r>
        <w:rPr/>
        <w:t>Considérant que l’identification de Renaix comme destination prioritaire D1 apparaît pertinente au regard de son rôle en matière d’enseignement, de santé, d’activités sportives, économiques et commerciales ;</w:t>
      </w:r>
    </w:p>
    <w:p>
      <w:pPr>
        <w:pStyle w:val="RGl6pod"/>
        <w:rPr/>
      </w:pPr>
      <w:r>
        <w:rPr/>
        <w:t>Considérant que l’identification de Tournai comme destination prioritaire D2 apparaît également cohérente compte tenu de son statut de pôle majeur régional ;</w:t>
      </w:r>
    </w:p>
    <w:p>
      <w:pPr>
        <w:pStyle w:val="RGl6pod"/>
        <w:rPr/>
      </w:pPr>
      <w:r>
        <w:rPr/>
        <w:t>Considérant que l’entité de Mont-de-l’Enclus comporte 4 villages (Amougies, Anseroeul, Russeignies, Orroir) générant quotidiennement des déplacements vers les pôles voisins.</w:t>
      </w:r>
    </w:p>
    <w:p>
      <w:pPr>
        <w:pStyle w:val="RGl6pod"/>
        <w:rPr/>
      </w:pPr>
      <w:r>
        <w:rPr/>
        <w:t>Considérant que la desserte actuelle repose principalement sur la ligne TEC reliant Tournai à Renaix, laquelle constitue l’ossature du réseau local de transport public ;</w:t>
      </w:r>
    </w:p>
    <w:p>
      <w:pPr>
        <w:pStyle w:val="RGl6pod"/>
        <w:rPr/>
      </w:pPr>
      <w:r>
        <w:rPr/>
        <w:t>Considérant que Mont-de-l’Enclus est desservi par 2 lignes TEC :</w:t>
      </w:r>
    </w:p>
    <w:p>
      <w:pPr>
        <w:pStyle w:val="RGl7pod"/>
        <w:numPr>
          <w:ilvl w:val="0"/>
          <w:numId w:val="12"/>
        </w:numPr>
        <w:tabs>
          <w:tab w:val="clear" w:pos="709"/>
          <w:tab w:val="left" w:pos="0" w:leader="none"/>
        </w:tabs>
        <w:ind w:left="922" w:hanging="461"/>
        <w:rPr/>
      </w:pPr>
      <w:r>
        <w:rPr/>
        <w:t>la ligne 97 assure la liaison entre MDE (Russeignie, Amougies, Orroir) Renaix (D1) et Tournai (D2) ainsi qu’avec Avelgem, autre destination prioritaire pour les habitants de MDE (écoles, centre d’activités sportives, économiques et commerciales)</w:t>
      </w:r>
    </w:p>
    <w:p>
      <w:pPr>
        <w:pStyle w:val="RGl7pod"/>
        <w:numPr>
          <w:ilvl w:val="0"/>
          <w:numId w:val="12"/>
        </w:numPr>
        <w:tabs>
          <w:tab w:val="clear" w:pos="709"/>
          <w:tab w:val="left" w:pos="0" w:leader="none"/>
        </w:tabs>
        <w:ind w:left="922" w:hanging="461"/>
        <w:rPr/>
      </w:pPr>
      <w:r>
        <w:rPr/>
        <w:t>la ligne 483 reliant MDE à Tournai (D2) la 483 étant la seule ligne desservant Anseroeul</w:t>
      </w:r>
    </w:p>
    <w:p>
      <w:pPr>
        <w:pStyle w:val="RGl6pod"/>
        <w:rPr/>
      </w:pPr>
      <w:r>
        <w:rPr/>
        <w:t>Considérant toutefois que les liaisons actuelles ne répondent pas adéquatement aux besoins des usagers en raison d’horaires insuffisamment adaptés, notamment en soirée, les week-ends et durant les congés scolaires.</w:t>
      </w:r>
    </w:p>
    <w:p>
      <w:pPr>
        <w:pStyle w:val="RGl6pod"/>
        <w:rPr/>
      </w:pPr>
      <w:r>
        <w:rPr/>
        <w:t>Considérant que la liaison vers Tournai est également fortement pénalisée par des temps de parcours très longs, peu compatibles avec les contraintes scolaires et professionnelles ;</w:t>
      </w:r>
    </w:p>
    <w:p>
      <w:pPr>
        <w:pStyle w:val="RGl6pod"/>
        <w:rPr/>
      </w:pPr>
      <w:r>
        <w:rPr/>
        <w:t>Considérant que les communes de Anvaing, Frasnes-lez-Anvaing, Leuze-en-Hainaut et Ath constituent des pôles d’attractivité importants pour les habitants de Mont-de-l’Enclus en matière d’enseignement, d’emploi, de commerces et de services ;</w:t>
      </w:r>
    </w:p>
    <w:p>
      <w:pPr>
        <w:pStyle w:val="RGl6pod"/>
        <w:rPr/>
      </w:pPr>
      <w:r>
        <w:rPr/>
        <w:t>Considérant que le projet de schéma ne prévoit aucune amélioration significative des connexions vers ces pôles, alors même qu’elles répondent à des besoins de mobilité avérés ;</w:t>
      </w:r>
    </w:p>
    <w:p>
      <w:pPr>
        <w:pStyle w:val="RGl6pod"/>
        <w:rPr/>
      </w:pPr>
      <w:r>
        <w:rPr/>
        <w:t>Considérant que les orientations du Schéma de Développement Territorial et du Schéma de Développement Communal entraîneront une densification progressive de la centralité villageoise, nécessitant un renforcement de l’offre de transport public afin de limiter la dépendance à la voiture individuelle ;</w:t>
      </w:r>
    </w:p>
    <w:p>
      <w:pPr>
        <w:pStyle w:val="RGl6pod"/>
        <w:rPr/>
      </w:pPr>
      <w:r>
        <w:rPr/>
        <w:t>Considérant que Mont-de-l’Enclus est une commune à vocation touristique reconnue, située au sein du Parc naturel du Pays des Collines, et que cette spécificité n’est pas suffisamment prise en compte dans le projet, notamment en ce qui concerne le développement des services de transports publics durant les week-ends et les périodes de vacances ni vers le centre touristique de l’Enclus du Haut;</w:t>
      </w:r>
    </w:p>
    <w:p>
      <w:pPr>
        <w:pStyle w:val="RGl6pod"/>
        <w:rPr/>
      </w:pPr>
      <w:r>
        <w:rPr/>
        <w:t>Considérant qu’aucun mobipôle n’est identifié sur le territoire communal ;</w:t>
      </w:r>
    </w:p>
    <w:p>
      <w:pPr>
        <w:pStyle w:val="RGl6pod"/>
        <w:rPr/>
      </w:pPr>
      <w:r>
        <w:rPr/>
        <w:t>Considérant que cette absence de liaison structurante et de mobipôle contribue à maintenir la commune dans une situation d’isolement relatif au sein du réseau régional de mobilité collective ;</w:t>
      </w:r>
    </w:p>
    <w:p>
      <w:pPr>
        <w:pStyle w:val="RGl6pod"/>
        <w:rPr/>
      </w:pPr>
      <w:r>
        <w:rPr/>
        <w:t>Considérant que la méthodologie utilisée pour élaborer le schéma, notamment le recours aux données de téléphonie mobile, présente un intérêt certain mais ne permet pas d’appréhender pleinement les besoins réels de mobilité de la population, en particulier lorsque certains déplacements sont déjà effectués en covoiturage faute d’une offre de transport public adaptée ;</w:t>
      </w:r>
    </w:p>
    <w:p>
      <w:pPr>
        <w:pStyle w:val="RGl6pod"/>
        <w:rPr/>
      </w:pPr>
      <w:r>
        <w:rPr/>
        <w:t>Après en avoir délibéré,</w:t>
      </w:r>
    </w:p>
    <w:p>
      <w:pPr>
        <w:pStyle w:val="RGl6pod"/>
        <w:rPr/>
      </w:pPr>
      <w:r>
        <w:rPr/>
        <w:t> </w:t>
      </w:r>
    </w:p>
    <w:p>
      <w:pPr>
        <w:pStyle w:val="Normal"/>
        <w:rPr/>
      </w:pPr>
      <w:r>
        <w:rPr>
          <w:rStyle w:val="RGl1pod"/>
        </w:rPr>
        <w:t>DÉCIDE : à l'unanimité</w:t>
      </w:r>
    </w:p>
    <w:p>
      <w:pPr>
        <w:pStyle w:val="Normal"/>
        <w:rPr/>
      </w:pPr>
      <w:r>
        <w:rPr/>
        <w:t>Article 1</w:t>
      </w:r>
    </w:p>
    <w:p>
      <w:pPr>
        <w:pStyle w:val="Normal"/>
        <w:rPr/>
      </w:pPr>
      <w:r>
        <w:rPr/>
        <w:t>D’émettre un avis défavorable sur les propositions concernant la commune de Mont-de-l’Enclus dans leur état actuel.</w:t>
      </w:r>
    </w:p>
    <w:p>
      <w:pPr>
        <w:pStyle w:val="Normal"/>
        <w:rPr/>
      </w:pPr>
      <w:r>
        <w:rPr/>
        <w:t>Article 2</w:t>
      </w:r>
    </w:p>
    <w:p>
      <w:pPr>
        <w:pStyle w:val="Normal"/>
        <w:rPr/>
      </w:pPr>
      <w:r>
        <w:rPr/>
        <w:t>De marquer son accord sur l’identification de Renaix comme destination prioritaire D1 et de Tournai comme destination prioritaire D2.</w:t>
      </w:r>
    </w:p>
    <w:p>
      <w:pPr>
        <w:pStyle w:val="Normal"/>
        <w:rPr/>
      </w:pPr>
      <w:r>
        <w:rPr/>
        <w:t>Article 3</w:t>
      </w:r>
    </w:p>
    <w:p>
      <w:pPr>
        <w:pStyle w:val="Normal"/>
        <w:rPr/>
      </w:pPr>
      <w:r>
        <w:rPr/>
        <w:t>De constater que la méthodologie de collecte et d’analyse des données utilisée pour l’élaboration du schéma ne permet pas de refléter adéquatement les besoins réels de mobilité des habitants de Mont-de-l’Enclus</w:t>
      </w:r>
    </w:p>
    <w:p>
      <w:pPr>
        <w:pStyle w:val="Normal"/>
        <w:rPr/>
      </w:pPr>
      <w:r>
        <w:rPr/>
        <w:t>Article 4</w:t>
      </w:r>
    </w:p>
    <w:p>
      <w:pPr>
        <w:pStyle w:val="Normal"/>
        <w:rPr/>
      </w:pPr>
      <w:r>
        <w:rPr/>
        <w:t>De relever que le projet ne prévoit aucune mesure concrète permettant d’améliorer l’accessibilité de la commune vers Tournai, Frasnes-lez-Anvaing, Anvaing, Leuze-en-Hainaut ou Ath, malgré l’insuffisance reconnue de l’offre actuelle.</w:t>
      </w:r>
    </w:p>
    <w:p>
      <w:pPr>
        <w:pStyle w:val="Normal"/>
        <w:rPr/>
      </w:pPr>
      <w:r>
        <w:rPr/>
        <w:t>Article 5</w:t>
      </w:r>
    </w:p>
    <w:p>
      <w:pPr>
        <w:pStyle w:val="Normal"/>
        <w:rPr/>
      </w:pPr>
      <w:r>
        <w:rPr/>
        <w:t>De demander à l’Autorité Organisatrice du Transport et au Gouvernement wallon :</w:t>
      </w:r>
    </w:p>
    <w:p>
      <w:pPr>
        <w:pStyle w:val="PodBulletItem"/>
        <w:numPr>
          <w:ilvl w:val="0"/>
          <w:numId w:val="13"/>
        </w:numPr>
        <w:tabs>
          <w:tab w:val="clear" w:pos="709"/>
          <w:tab w:val="left" w:pos="0" w:leader="none"/>
        </w:tabs>
        <w:ind w:left="922" w:hanging="461"/>
        <w:rPr/>
      </w:pPr>
      <w:r>
        <w:rPr/>
        <w:t>de revoir la méthodologie d’analyse des besoins de mobilité afin d’intégrer davantage les réalités locales en matière de besoins des usagers et les perspectives de développement des centralités ;</w:t>
      </w:r>
    </w:p>
    <w:p>
      <w:pPr>
        <w:pStyle w:val="PodBulletItem"/>
        <w:numPr>
          <w:ilvl w:val="0"/>
          <w:numId w:val="13"/>
        </w:numPr>
        <w:tabs>
          <w:tab w:val="clear" w:pos="709"/>
          <w:tab w:val="left" w:pos="0" w:leader="none"/>
        </w:tabs>
        <w:ind w:left="922" w:hanging="461"/>
        <w:rPr/>
      </w:pPr>
      <w:r>
        <w:rPr/>
        <w:t>de renforcer l’offre de transport public sur l’axe Tournai – Mont-de-l’Enclus – Renaix ainsi que vers les pôles de Frasnes-lez-Anvaing, Anvaing, Leuze-en-Hainaut et Ath ;</w:t>
      </w:r>
    </w:p>
    <w:p>
      <w:pPr>
        <w:pStyle w:val="PodBulletItem"/>
        <w:numPr>
          <w:ilvl w:val="0"/>
          <w:numId w:val="13"/>
        </w:numPr>
        <w:tabs>
          <w:tab w:val="clear" w:pos="709"/>
          <w:tab w:val="left" w:pos="0" w:leader="none"/>
        </w:tabs>
        <w:ind w:left="922" w:hanging="461"/>
        <w:rPr/>
      </w:pPr>
      <w:r>
        <w:rPr/>
        <w:t>de prévoir des mesures concrètes visant à améliorer l’accessibilité des habitants aux pôles d’enseignement, d’emploi, de services et de commerces ;</w:t>
      </w:r>
    </w:p>
    <w:p>
      <w:pPr>
        <w:pStyle w:val="PodBulletItem"/>
        <w:numPr>
          <w:ilvl w:val="0"/>
          <w:numId w:val="13"/>
        </w:numPr>
        <w:tabs>
          <w:tab w:val="clear" w:pos="709"/>
          <w:tab w:val="left" w:pos="0" w:leader="none"/>
        </w:tabs>
        <w:ind w:left="922" w:hanging="461"/>
        <w:rPr/>
      </w:pPr>
      <w:r>
        <w:rPr/>
        <w:t>d’intégrer la commune de Mont-de-l’Enclus dans les priorités futures d’investissement en matière de mobilité collective.</w:t>
      </w:r>
    </w:p>
    <w:p>
      <w:pPr>
        <w:pStyle w:val="Normal"/>
        <w:rPr/>
      </w:pPr>
      <w:r>
        <w:rPr/>
        <w:t>Article 6</w:t>
      </w:r>
    </w:p>
    <w:p>
      <w:pPr>
        <w:pStyle w:val="Normal"/>
        <w:rPr/>
      </w:pPr>
      <w:r>
        <w:rPr/>
        <w:t>De solliciter l’identification d’un mobipôle local sur le territoire communal afin de favoriser le rabattement vers le réseau structurant régional.</w:t>
      </w:r>
    </w:p>
    <w:p>
      <w:pPr>
        <w:pStyle w:val="Normal"/>
        <w:rPr/>
      </w:pPr>
      <w:r>
        <w:rPr/>
        <w:t>Article 7</w:t>
      </w:r>
    </w:p>
    <w:p>
      <w:pPr>
        <w:pStyle w:val="Normal"/>
        <w:rPr/>
      </w:pPr>
      <w:r>
        <w:rPr/>
        <w:t>De demander le renforcement des synergies entre les réseaux de transport wallon et flamand afin d’améliorer l’accessibilité des habitants de Mont-de-l’Enclus aux différents pôles d’intérêt régionaux.</w:t>
      </w:r>
    </w:p>
    <w:p>
      <w:pPr>
        <w:pStyle w:val="Normal"/>
        <w:rPr/>
      </w:pPr>
      <w:r>
        <w:rPr/>
        <w:t>Article 8</w:t>
      </w:r>
    </w:p>
    <w:p>
      <w:pPr>
        <w:pStyle w:val="Normal"/>
        <w:rPr/>
      </w:pPr>
      <w:r>
        <w:rPr/>
        <w:t>De rappeler que les communes rurales doivent bénéficier d’une accessibilité effective aux pôles urbains et aux services essentiels afin d’éviter toute fracture territoriale et de limiter la dépendance à la voiture individuelle.</w:t>
      </w:r>
    </w:p>
    <w:p>
      <w:pPr>
        <w:pStyle w:val="Normal"/>
        <w:rPr/>
      </w:pPr>
      <w:r>
        <w:rPr/>
        <w:t>Article 9</w:t>
      </w:r>
    </w:p>
    <w:p>
      <w:pPr>
        <w:pStyle w:val="Normal"/>
        <w:rPr/>
      </w:pPr>
      <w:r>
        <w:rPr/>
        <w:t>De transmettre la présente délibération à l’Autorité Organisatrice du Transport, au Service public de Wallonie Mobilité et Infrastructures, à l’Organe de Consultation du Bassin de Mobilité du Hainaut ainsi qu’à l’Association de Communes du Hainaut – Wallonie picarde.</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N°7 : Assemblée générale : IFIGA - mardi 30 juin 2026 - Ordre du jour;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w:t>
      </w:r>
    </w:p>
    <w:p>
      <w:pPr>
        <w:pStyle w:val="Normal"/>
        <w:rPr/>
      </w:pPr>
      <w:r>
        <w:rPr/>
        <w:t>Vu le décret du 5 décembre 1996 relatif aux intercommunales wallonnes ;</w:t>
      </w:r>
    </w:p>
    <w:p>
      <w:pPr>
        <w:pStyle w:val="Normal"/>
        <w:rPr/>
      </w:pPr>
      <w:r>
        <w:rPr/>
        <w:t>Considérant l’affiliation de la commune à l’intercommunale IFIGA ;</w:t>
      </w:r>
    </w:p>
    <w:p>
      <w:pPr>
        <w:pStyle w:val="Normal"/>
        <w:rPr/>
      </w:pPr>
      <w:r>
        <w:rPr/>
        <w:t>Considérant les dispositions statutaires d’IFIGA ;</w:t>
      </w:r>
    </w:p>
    <w:p>
      <w:pPr>
        <w:pStyle w:val="Normal"/>
        <w:rPr/>
      </w:pPr>
      <w:r>
        <w:rPr/>
        <w:t>Considérant que la commune a été convoquée par lettre et par mail du 28 mai 2026 à participer à l’assemblée générale de l’intercommunale IFIGA qui se tiendra le 30 juin 2026 à l’adresse :</w:t>
      </w:r>
    </w:p>
    <w:p>
      <w:pPr>
        <w:pStyle w:val="RGl6pod"/>
        <w:rPr/>
      </w:pPr>
      <w:r>
        <w:rPr/>
        <w:t>L’AU-DELÀ - Chemin du Bue 5, 7750 Mont-de-l'Enclus (Anseroeul)</w:t>
      </w:r>
    </w:p>
    <w:p>
      <w:pPr>
        <w:pStyle w:val="Normal"/>
        <w:rPr/>
      </w:pPr>
      <w:r>
        <w:rPr/>
        <w:t>Considérant que l’article L1523-11 du décret du 19 juillet 2006 sur les intercommunales wallonnes stipule qu’en cas de délibération préalable du conseil communal sur les points portés à l’ordre du jour d’une assemblée générale, celle-ci confère aux délégués de la commune un mandat impératif leur enjoignant de se conformer à la volonté exprimée par le conseil communal ;</w:t>
      </w:r>
    </w:p>
    <w:p>
      <w:pPr>
        <w:pStyle w:val="Normal"/>
        <w:rPr/>
      </w:pPr>
      <w:r>
        <w:rPr/>
        <w:t>Considérant que l’assemblée générale aura à se prononcer sur les points suivants portés à l’ordre du jour, à savoir :</w:t>
      </w:r>
    </w:p>
    <w:p>
      <w:pPr>
        <w:pStyle w:val="RGl6pod"/>
        <w:rPr/>
      </w:pPr>
      <w:r>
        <w:rPr/>
        <w:t> </w:t>
      </w:r>
    </w:p>
    <w:p>
      <w:pPr>
        <w:pStyle w:val="RGl6pod"/>
        <w:rPr/>
      </w:pPr>
      <w:r>
        <w:rPr/>
        <w:t>1.          Rapport annuel 2025</w:t>
      </w:r>
    </w:p>
    <w:p>
      <w:pPr>
        <w:pStyle w:val="RGl6pod"/>
        <w:rPr/>
      </w:pPr>
      <w:r>
        <w:rPr/>
        <w:t>2.          Comptes annuels arrêtés au 31 décembre 2025 :</w:t>
      </w:r>
    </w:p>
    <w:p>
      <w:pPr>
        <w:pStyle w:val="RGl7pod"/>
        <w:numPr>
          <w:ilvl w:val="0"/>
          <w:numId w:val="14"/>
        </w:numPr>
        <w:tabs>
          <w:tab w:val="clear" w:pos="709"/>
          <w:tab w:val="left" w:pos="0" w:leader="none"/>
        </w:tabs>
        <w:ind w:left="922" w:hanging="461"/>
        <w:rPr/>
      </w:pPr>
      <w:r>
        <w:rPr/>
        <w:t>Présentation des comptes, du rapport de gestion du conseil d’administration, du test d’actif net, des règles d’évaluation y afférentes ainsi que du rapport de prises de participation</w:t>
      </w:r>
    </w:p>
    <w:p>
      <w:pPr>
        <w:pStyle w:val="RGl7pod"/>
        <w:numPr>
          <w:ilvl w:val="0"/>
          <w:numId w:val="14"/>
        </w:numPr>
        <w:tabs>
          <w:tab w:val="clear" w:pos="709"/>
          <w:tab w:val="left" w:pos="0" w:leader="none"/>
        </w:tabs>
        <w:ind w:left="922" w:hanging="461"/>
        <w:rPr/>
      </w:pPr>
      <w:r>
        <w:rPr/>
        <w:t>Présentation du rapport du réviseur</w:t>
      </w:r>
    </w:p>
    <w:p>
      <w:pPr>
        <w:pStyle w:val="RGl7pod"/>
        <w:numPr>
          <w:ilvl w:val="0"/>
          <w:numId w:val="14"/>
        </w:numPr>
        <w:tabs>
          <w:tab w:val="clear" w:pos="709"/>
          <w:tab w:val="left" w:pos="0" w:leader="none"/>
        </w:tabs>
        <w:ind w:left="922" w:hanging="461"/>
        <w:rPr/>
      </w:pPr>
      <w:r>
        <w:rPr/>
        <w:t>Approbation des comptes annuels arrêtés au 31 décembre 2025 et de l’affectation proposée du résultat</w:t>
      </w:r>
    </w:p>
    <w:p>
      <w:pPr>
        <w:pStyle w:val="RGl6pod"/>
        <w:rPr/>
      </w:pPr>
      <w:r>
        <w:rPr/>
        <w:t>3.          Rapport annuel de rémunérations du conseil d’administration</w:t>
      </w:r>
    </w:p>
    <w:p>
      <w:pPr>
        <w:pStyle w:val="RGl6pod"/>
        <w:rPr/>
      </w:pPr>
      <w:r>
        <w:rPr/>
        <w:t>4.          Cadastre des marchés publics (liste des adjudicataires et l’annexe)</w:t>
      </w:r>
    </w:p>
    <w:p>
      <w:pPr>
        <w:pStyle w:val="RGl6pod"/>
        <w:rPr/>
      </w:pPr>
      <w:r>
        <w:rPr/>
        <w:t>5.          Décharge aux administrateurs pour l’exercice de leur mandat au cours de l’exercice 2025</w:t>
      </w:r>
    </w:p>
    <w:p>
      <w:pPr>
        <w:pStyle w:val="RGl6pod"/>
        <w:rPr/>
      </w:pPr>
      <w:r>
        <w:rPr/>
        <w:t>6.          Décharge au réviseur pour l’exercice de son mandat au cours de l’exercice 2025</w:t>
      </w:r>
    </w:p>
    <w:p>
      <w:pPr>
        <w:pStyle w:val="RGl6pod"/>
        <w:rPr/>
      </w:pPr>
      <w:r>
        <w:rPr/>
        <w:t>7.          Nominations statutaires</w:t>
      </w:r>
    </w:p>
    <w:p>
      <w:pPr>
        <w:pStyle w:val="Normal"/>
        <w:rPr/>
      </w:pPr>
      <w:r>
        <w:rPr/>
        <w:t> </w:t>
      </w:r>
    </w:p>
    <w:p>
      <w:pPr>
        <w:pStyle w:val="Normal"/>
        <w:rPr/>
      </w:pPr>
      <w:r>
        <w:rPr/>
        <w:t>Une présentation de la situation financière globale de l’intercommunale IFIGA, composée des entrées et des sorties, est réalisée en conseil d’administration. Il est rappelé que les revenus de l’intercommunale sont essentiellement basés sur les dividendes d’ORES Assets, Elia/Publi-T, Fluxys/Publigaz et Engie/Electrabel, ainsi que sur les dividendes d’autres immobilisations financières.</w:t>
      </w:r>
    </w:p>
    <w:p>
      <w:pPr>
        <w:pStyle w:val="RGl6pod"/>
        <w:rPr/>
      </w:pPr>
      <w:r>
        <w:rPr/>
        <w:t> </w:t>
      </w:r>
    </w:p>
    <w:p>
      <w:pPr>
        <w:pStyle w:val="RGl6pod"/>
        <w:rPr/>
      </w:pPr>
      <w:r>
        <w:rPr>
          <w:rStyle w:val="RGl5pod"/>
        </w:rPr>
        <w:t>IFIGA est une intercommunale exerçant une fonction de holding, dont les dividendes perçus au cours de l’année 2025 sont relatifs aux résultats de l’exercice 2024 des sociétés participées. Le paiement des dividendes à effectuer par IFIGA donnera toujours lieu à des contraintes de liquidité. Pour y remédier, un programme ‘billets de trésorerie’ a été lancé par IFIGA en 2014 à concurrence de 25.000.000 EUR. </w:t>
      </w:r>
    </w:p>
    <w:p>
      <w:pPr>
        <w:pStyle w:val="RGl6pod"/>
        <w:rPr/>
      </w:pPr>
      <w:r>
        <w:rPr/>
        <w:t> </w:t>
      </w:r>
    </w:p>
    <w:p>
      <w:pPr>
        <w:pStyle w:val="Normal"/>
        <w:rPr/>
      </w:pPr>
      <w:r>
        <w:rPr/>
        <w:t>L’exercice 2025 se clôture au 31 décembre par un bénéfice net de 604.960,12 EUR par rapport à 477.188,44 EUR de l’exercice précédent (ce bénéfice est également réparti par commune).</w:t>
      </w:r>
    </w:p>
    <w:p>
      <w:pPr>
        <w:pStyle w:val="Normal"/>
        <w:rPr/>
      </w:pPr>
      <w:r>
        <w:rPr/>
        <w:t> </w:t>
      </w:r>
    </w:p>
    <w:p>
      <w:pPr>
        <w:pStyle w:val="RGl6pod"/>
        <w:rPr/>
      </w:pPr>
      <w:r>
        <w:rPr>
          <w:rStyle w:val="RGl5pod"/>
        </w:rPr>
        <w:t>Le conseil d’administration propose à l’assemblée l’affectation du bénéfice comme suit :</w:t>
      </w:r>
    </w:p>
    <w:p>
      <w:pPr>
        <w:pStyle w:val="RGl6pod"/>
        <w:rPr/>
      </w:pPr>
      <w:r>
        <w:rPr/>
        <w:t> </w:t>
      </w:r>
    </w:p>
    <w:p>
      <w:pPr>
        <w:pStyle w:val="RGl7pod"/>
        <w:numPr>
          <w:ilvl w:val="1"/>
          <w:numId w:val="15"/>
        </w:numPr>
        <w:tabs>
          <w:tab w:val="clear" w:pos="709"/>
          <w:tab w:val="left" w:pos="0" w:leader="none"/>
        </w:tabs>
        <w:ind w:left="1383" w:hanging="461"/>
        <w:rPr/>
      </w:pPr>
      <w:r>
        <w:rPr/>
        <w:t>Dotation aux réserves disponibles         304.960,12 EUR              </w:t>
      </w:r>
    </w:p>
    <w:p>
      <w:pPr>
        <w:pStyle w:val="RGl7pod"/>
        <w:numPr>
          <w:ilvl w:val="1"/>
          <w:numId w:val="15"/>
        </w:numPr>
        <w:tabs>
          <w:tab w:val="clear" w:pos="709"/>
          <w:tab w:val="left" w:pos="0" w:leader="none"/>
        </w:tabs>
        <w:ind w:left="1383" w:hanging="461"/>
        <w:rPr/>
      </w:pPr>
      <w:r>
        <w:rPr/>
        <w:t>Rémunération du capital                         300.000,00 EUR</w:t>
      </w:r>
    </w:p>
    <w:p>
      <w:pPr>
        <w:pStyle w:val="RGl7pod"/>
        <w:numPr>
          <w:ilvl w:val="1"/>
          <w:numId w:val="15"/>
        </w:numPr>
        <w:tabs>
          <w:tab w:val="clear" w:pos="709"/>
          <w:tab w:val="left" w:pos="0" w:leader="none"/>
        </w:tabs>
        <w:ind w:left="1383" w:hanging="461"/>
        <w:rPr/>
      </w:pPr>
      <w:r>
        <w:rPr/>
        <w:t>Bénéfice de l’exercice                               604.960,12 EUR</w:t>
      </w:r>
    </w:p>
    <w:p>
      <w:pPr>
        <w:pStyle w:val="RGl6pod"/>
        <w:rPr/>
      </w:pPr>
      <w:r>
        <w:rPr/>
        <w:t> </w:t>
      </w:r>
    </w:p>
    <w:p>
      <w:pPr>
        <w:pStyle w:val="RGl8pod"/>
        <w:rPr/>
      </w:pPr>
      <w:r>
        <w:rPr>
          <w:rStyle w:val="RGl5pod"/>
        </w:rPr>
        <w:t>Le résultat à distribuer entre les associés conformément aux dispositions statutaires donnera donc lieu à un dividende de 300.000,00 EUR. En outre, le conseil d’administration du 19 mai 2026 a décidé de maintenir l’augmentation de 10 % du dividende actuel via le compte-courant d’actionnaires (30.000 EUR), et d'utiliser l’intégralité du solde bénéficiaire (304.960,12 EUR) pour réduire la dette.</w:t>
      </w:r>
    </w:p>
    <w:p>
      <w:pPr>
        <w:pStyle w:val="Normal"/>
        <w:rPr/>
      </w:pPr>
      <w:r>
        <w:rPr/>
        <w:t> </w:t>
      </w:r>
    </w:p>
    <w:p>
      <w:pPr>
        <w:pStyle w:val="RGl6pod"/>
        <w:rPr/>
      </w:pPr>
      <w:r>
        <w:rPr>
          <w:rStyle w:val="RGl5pod"/>
        </w:rPr>
        <w:t>Propres à la structure d’un holding, les valeurs des participations sont bien soumises aux fluctuations du marché en bourse et ces participations sont enregistrées à la valeur d’acquisition.</w:t>
      </w:r>
    </w:p>
    <w:p>
      <w:pPr>
        <w:pStyle w:val="RGl8pod"/>
        <w:rPr/>
      </w:pPr>
      <w:r>
        <w:rPr>
          <w:rStyle w:val="RGl5pod"/>
        </w:rPr>
        <w:t>IFIGA vise à créer de la valeur actionnariale à long terme.</w:t>
      </w:r>
    </w:p>
    <w:p>
      <w:pPr>
        <w:pStyle w:val="RGl8pod"/>
        <w:rPr/>
      </w:pPr>
      <w:r>
        <w:rPr>
          <w:rStyle w:val="RGl5pod"/>
        </w:rPr>
        <w:t>La valeur retenue pour les immobilisations financières est également justifiée par le calcul suivant :</w:t>
      </w:r>
    </w:p>
    <w:p>
      <w:pPr>
        <w:pStyle w:val="Normal"/>
        <w:rPr/>
      </w:pPr>
      <w:r>
        <w:rPr/>
        <w:t>Le montant total de nos immobilisations financières montre que les moins-values sur nos actions précitées sont largement compensées par les plus-values sur la valeur intrinsèque du portefeuille.</w:t>
      </w:r>
    </w:p>
    <w:p>
      <w:pPr>
        <w:pStyle w:val="RGl6pod"/>
        <w:rPr/>
      </w:pPr>
      <w:r>
        <w:rPr>
          <w:rStyle w:val="RGl5pod"/>
        </w:rPr>
        <w:t>Dans ce cadre, le conseil d’administration réfère également aux règles d’évaluation qui sont établies en continuité.</w:t>
      </w:r>
    </w:p>
    <w:p>
      <w:pPr>
        <w:pStyle w:val="Normal"/>
        <w:rPr/>
      </w:pPr>
      <w:r>
        <w:rPr/>
        <w:t>Les comptes annuels sont bien entendu étudiés et validés par le réviseur.</w:t>
      </w:r>
    </w:p>
    <w:p>
      <w:pPr>
        <w:pStyle w:val="Normal"/>
        <w:rPr/>
      </w:pPr>
      <w:r>
        <w:rPr/>
        <w:t> </w:t>
      </w:r>
    </w:p>
    <w:p>
      <w:pPr>
        <w:pStyle w:val="RGl6pod"/>
        <w:rPr/>
      </w:pPr>
      <w:r>
        <w:rPr/>
        <w:t>Aujourd’hui, l’instabilité du secteur de l’énergie, les inconnues inhérentes aux méthodologies tarifaires, les investissements dans la transition énergétique, les développements internationaux d’Elia et de Fluxys, et le contexte économique et financier, depuis fin 2022 affecté par une forte inflation, ont amené le conseil d’administration à se tourner vers une diversification de participations stratégiques et financières.</w:t>
      </w:r>
    </w:p>
    <w:p>
      <w:pPr>
        <w:pStyle w:val="RGl6pod"/>
        <w:rPr/>
      </w:pPr>
      <w:r>
        <w:rPr/>
        <w:t> </w:t>
      </w:r>
    </w:p>
    <w:p>
      <w:pPr>
        <w:pStyle w:val="RGl6pod"/>
        <w:rPr/>
      </w:pPr>
      <w:r>
        <w:rPr/>
        <w:t>Au cours des dernières années, des circonstances successives ont rendu plus difficile la gestion de nos actions. Il suffit de penser au Covid, à la guerre en Ukraine, à la guerre en Moyen-Orient, à la transition énergétique.</w:t>
      </w:r>
    </w:p>
    <w:p>
      <w:pPr>
        <w:pStyle w:val="RGl6pod"/>
        <w:rPr/>
      </w:pPr>
      <w:r>
        <w:rPr/>
        <w:t> </w:t>
      </w:r>
    </w:p>
    <w:p>
      <w:pPr>
        <w:pStyle w:val="RGl6pod"/>
        <w:rPr/>
      </w:pPr>
      <w:r>
        <w:rPr/>
        <w:t>La majorité du gaz en Belgique provient désormais de Norvège, de France, des Pays-Bas, du Royaume-Uni, de la Russie et du Qatar. Le gaz russe, qui ne représentait déjà plus qu'une fraction minoritaire de notre consommation, fait désormais l'objet de strictes restrictions d'importation.</w:t>
      </w:r>
    </w:p>
    <w:p>
      <w:pPr>
        <w:pStyle w:val="RGl6pod"/>
        <w:rPr/>
      </w:pPr>
      <w:r>
        <w:rPr/>
        <w:t>Historiquement, la production nationale couvrait la quasi-totalité de nos besoins. Aujourd'hui, l'adaptation du parc nucléaire pousse la Belgique à importer une part de son électricité depuis les pays voisins (environ 26 % en mars 2026), principalement depuis la France et les Pays-Bas.</w:t>
      </w:r>
    </w:p>
    <w:p>
      <w:pPr>
        <w:pStyle w:val="RGl6pod"/>
        <w:rPr/>
      </w:pPr>
      <w:r>
        <w:rPr/>
        <w:t> </w:t>
      </w:r>
    </w:p>
    <w:p>
      <w:pPr>
        <w:pStyle w:val="RGl6pod"/>
        <w:rPr/>
      </w:pPr>
      <w:r>
        <w:rPr/>
        <w:t>Pour répondre aux conséquences économiques actuelles, l’intercommunale IFIGA a eu une gestion très proactive et attentive sur le dossier ORES Assets et peut être fière d'avoir atteint l’autonomie financière.</w:t>
      </w:r>
    </w:p>
    <w:p>
      <w:pPr>
        <w:pStyle w:val="RGl6pod"/>
        <w:rPr/>
      </w:pPr>
      <w:r>
        <w:rPr/>
        <w:t>Le fonctionnement de notre intercommunale de financement à l'égard de nos intercommunales sœurs est différent en ce qui concerne la gestion des parts du GRD ORES Assets. Celles-ci sont ancrées auprès de nos communes associées pour ce qui est du réseau de gaz et d'électricité de chacune d'entre elles. IFIGA a cédé toutes les actions de Gaselwest à nos communes, qui sont ainsi devenues des actions d'Orès Assets. Ces actions sont détenues par nos communes sans dette. Il en résulte un dividende direct d’environ 842 k€, qui, autrement, transiteraient par IFIGA, comme c'est le cas pour toutes les autres intercommunales de financement de Wallonie.</w:t>
      </w:r>
    </w:p>
    <w:p>
      <w:pPr>
        <w:pStyle w:val="RGl6pod"/>
        <w:rPr/>
      </w:pPr>
      <w:r>
        <w:rPr/>
        <w:t>Toutefois, un nombre limité d'actions d'ORES Assets sont restées sous la gestion du portefeuille d'actions IFIGA. Il s'agit de 105.360 actions grevées de dettes au moment du transfert de nos cinq communes vers ORES Assets à partir du 1</w:t>
      </w:r>
      <w:r>
        <w:rPr>
          <w:rStyle w:val="RGl4pod"/>
        </w:rPr>
        <w:t>er</w:t>
      </w:r>
      <w:r>
        <w:rPr/>
        <w:t xml:space="preserve"> janvier 2019.</w:t>
      </w:r>
    </w:p>
    <w:p>
      <w:pPr>
        <w:pStyle w:val="Normal"/>
        <w:rPr/>
      </w:pPr>
      <w:r>
        <w:rPr/>
        <w:t> </w:t>
      </w:r>
    </w:p>
    <w:p>
      <w:pPr>
        <w:pStyle w:val="Normal"/>
        <w:rPr/>
      </w:pPr>
      <w:r>
        <w:rPr/>
        <w:t> </w:t>
      </w:r>
    </w:p>
    <w:p>
      <w:pPr>
        <w:pStyle w:val="Normal"/>
        <w:rPr/>
      </w:pPr>
      <w:r>
        <w:rPr/>
        <w:t> </w:t>
      </w:r>
    </w:p>
    <w:p>
      <w:pPr>
        <w:pStyle w:val="Normal"/>
        <w:rPr/>
      </w:pPr>
      <w:r>
        <w:rPr/>
        <w:t> </w:t>
      </w:r>
    </w:p>
    <w:tbl>
      <w:tblPr>
        <w:tblW w:w="3350" w:type="pct"/>
        <w:jc w:val="center"/>
        <w:tblInd w:w="0" w:type="dxa"/>
        <w:tblLayout w:type="fixed"/>
        <w:tblCellMar>
          <w:top w:w="0" w:type="dxa"/>
          <w:left w:w="0" w:type="dxa"/>
          <w:bottom w:w="0" w:type="dxa"/>
          <w:right w:w="0" w:type="dxa"/>
        </w:tblCellMar>
      </w:tblPr>
      <w:tblGrid>
        <w:gridCol w:w="1910"/>
        <w:gridCol w:w="1267"/>
        <w:gridCol w:w="1408"/>
        <w:gridCol w:w="1717"/>
      </w:tblGrid>
      <w:tr>
        <w:trPr/>
        <w:tc>
          <w:tcPr>
            <w:tcW w:w="1910" w:type="dxa"/>
            <w:tcBorders>
              <w:top w:val="single" w:sz="2" w:space="0" w:color="000000"/>
              <w:left w:val="single" w:sz="2" w:space="0" w:color="000000"/>
              <w:bottom w:val="single" w:sz="2" w:space="0" w:color="000000"/>
              <w:right w:val="single" w:sz="2" w:space="0" w:color="000000"/>
            </w:tcBorders>
            <w:vAlign w:val="center"/>
          </w:tcPr>
          <w:p>
            <w:pPr>
              <w:pStyle w:val="RGl10pod"/>
              <w:rPr/>
            </w:pPr>
            <w:r>
              <w:rPr/>
              <w:t>Associés</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2pod"/>
              <w:rPr/>
            </w:pPr>
            <w:r>
              <w:rPr/>
              <w:t>Parts au      31-12-2024</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2pod"/>
              <w:rPr/>
            </w:pPr>
            <w:r>
              <w:rPr/>
              <w:t>Valeur           comptable ajustée</w:t>
            </w:r>
          </w:p>
        </w:tc>
        <w:tc>
          <w:tcPr>
            <w:tcW w:w="1717" w:type="dxa"/>
            <w:tcBorders>
              <w:top w:val="single" w:sz="2" w:space="0" w:color="000000"/>
              <w:left w:val="single" w:sz="2" w:space="0" w:color="000000"/>
              <w:bottom w:val="single" w:sz="2" w:space="0" w:color="000000"/>
              <w:right w:val="single" w:sz="2" w:space="0" w:color="000000"/>
            </w:tcBorders>
            <w:vAlign w:val="center"/>
          </w:tcPr>
          <w:p>
            <w:pPr>
              <w:pStyle w:val="RGl12pod"/>
              <w:rPr/>
            </w:pPr>
            <w:r>
              <w:rPr/>
              <w:t>Dividendes 2024</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Celles</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43.464</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1.346.949</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50.147</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Comines</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568.250</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17.610.068</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655.624</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Ellezelles</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38.239</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1.185.027</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44.119</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Frasnes-L-Anv.</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42.482</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1.316.517</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49.014</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M-D-L'Enclus</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37.357</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1.157.693</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43.101</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S/Total</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rStyle w:val="RGl1pod"/>
              </w:rPr>
              <w:t>729.792</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rStyle w:val="RGl1pod"/>
              </w:rPr>
              <w:t>22.616.254</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rStyle w:val="RGl1pod"/>
              </w:rPr>
              <w:t>842.005</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 </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Autres communes</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1.318.007</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40.845.037</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1.520.664</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Total communes</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2.047.799</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63.461.291</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2.362.669</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 </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IFIGA</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rStyle w:val="RGl1pod"/>
              </w:rPr>
              <w:t>105.360</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rStyle w:val="RGl1pod"/>
              </w:rPr>
              <w:t>3.265.106</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rStyle w:val="RGl1pod"/>
              </w:rPr>
              <w:t>121.560</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 xml:space="preserve">Autres intercomm. </w:t>
            </w:r>
            <w:r>
              <w:rPr>
                <w:rStyle w:val="RGl1pod"/>
              </w:rPr>
              <w:t>(*)</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64.001.632</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1.983.410.576</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73.842.523</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Total intercomm.</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64.106.992</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1.986.675.682</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73.964.083</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 </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 </w:t>
            </w:r>
          </w:p>
        </w:tc>
      </w:tr>
      <w:tr>
        <w:trPr/>
        <w:tc>
          <w:tcPr>
            <w:tcW w:w="1910" w:type="dxa"/>
            <w:tcBorders>
              <w:top w:val="single" w:sz="2" w:space="0" w:color="000000"/>
              <w:left w:val="single" w:sz="2" w:space="0" w:color="000000"/>
              <w:bottom w:val="single" w:sz="2" w:space="0" w:color="000000"/>
              <w:right w:val="single" w:sz="2" w:space="0" w:color="000000"/>
            </w:tcBorders>
            <w:vAlign w:val="bottom"/>
          </w:tcPr>
          <w:p>
            <w:pPr>
              <w:pStyle w:val="RGl10pod"/>
              <w:rPr/>
            </w:pPr>
            <w:r>
              <w:rPr/>
              <w:t>TOTAUX</w:t>
            </w:r>
          </w:p>
        </w:tc>
        <w:tc>
          <w:tcPr>
            <w:tcW w:w="126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66.154.791</w:t>
            </w:r>
          </w:p>
        </w:tc>
        <w:tc>
          <w:tcPr>
            <w:tcW w:w="1408"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2.050.136.973</w:t>
            </w:r>
          </w:p>
        </w:tc>
        <w:tc>
          <w:tcPr>
            <w:tcW w:w="1717" w:type="dxa"/>
            <w:tcBorders>
              <w:top w:val="single" w:sz="2" w:space="0" w:color="000000"/>
              <w:left w:val="single" w:sz="2" w:space="0" w:color="000000"/>
              <w:bottom w:val="single" w:sz="2" w:space="0" w:color="000000"/>
              <w:right w:val="single" w:sz="2" w:space="0" w:color="000000"/>
            </w:tcBorders>
            <w:vAlign w:val="bottom"/>
          </w:tcPr>
          <w:p>
            <w:pPr>
              <w:pStyle w:val="RGl13pod"/>
              <w:rPr/>
            </w:pPr>
            <w:r>
              <w:rPr/>
              <w:t>76.326.752</w:t>
            </w:r>
          </w:p>
        </w:tc>
      </w:tr>
      <w:tr>
        <w:trPr/>
        <w:tc>
          <w:tcPr>
            <w:tcW w:w="6302" w:type="dxa"/>
            <w:gridSpan w:val="4"/>
            <w:tcBorders>
              <w:top w:val="single" w:sz="2" w:space="0" w:color="000000"/>
              <w:left w:val="single" w:sz="2" w:space="0" w:color="000000"/>
              <w:bottom w:val="single" w:sz="2" w:space="0" w:color="000000"/>
              <w:right w:val="single" w:sz="2" w:space="0" w:color="000000"/>
            </w:tcBorders>
            <w:vAlign w:val="bottom"/>
          </w:tcPr>
          <w:p>
            <w:pPr>
              <w:pStyle w:val="RGl10pod"/>
              <w:rPr/>
            </w:pPr>
            <w:r>
              <w:rPr>
                <w:rStyle w:val="RGl1pod"/>
              </w:rPr>
              <w:t> </w:t>
            </w:r>
            <w:r>
              <w:rPr>
                <w:rStyle w:val="RGl1pod"/>
              </w:rPr>
              <w:t>(*)</w:t>
            </w:r>
            <w:r>
              <w:rPr/>
              <w:t xml:space="preserve"> La totalité des parts détenues par CENEO (29,65 M), FINEST (2,5 M), FINIMO (3,3 M),</w:t>
            </w:r>
          </w:p>
        </w:tc>
      </w:tr>
      <w:tr>
        <w:trPr/>
        <w:tc>
          <w:tcPr>
            <w:tcW w:w="6302" w:type="dxa"/>
            <w:gridSpan w:val="4"/>
            <w:tcBorders>
              <w:top w:val="single" w:sz="2" w:space="0" w:color="000000"/>
              <w:left w:val="single" w:sz="2" w:space="0" w:color="000000"/>
              <w:bottom w:val="single" w:sz="2" w:space="0" w:color="000000"/>
              <w:right w:val="single" w:sz="2" w:space="0" w:color="000000"/>
            </w:tcBorders>
            <w:vAlign w:val="bottom"/>
          </w:tcPr>
          <w:p>
            <w:pPr>
              <w:pStyle w:val="RGl10pod"/>
              <w:rPr/>
            </w:pPr>
            <w:r>
              <w:rPr/>
              <w:t>IDEFIN (10,4 M), IEG (1,7 M), IFIGA (105.360), IPFBW (9,0 M), SOFILUX (7,5 M), IGRETEC (4)</w:t>
            </w:r>
          </w:p>
        </w:tc>
      </w:tr>
    </w:tbl>
    <w:p>
      <w:pPr>
        <w:pStyle w:val="Normal"/>
        <w:rPr/>
      </w:pPr>
      <w:r>
        <w:rPr/>
        <w:t> </w:t>
      </w:r>
    </w:p>
    <w:p>
      <w:pPr>
        <w:pStyle w:val="Normal"/>
        <w:rPr/>
      </w:pPr>
      <w:r>
        <w:rPr/>
        <w:t>Vu que le conseil communal prend connaissance du rapport annuel 2025, comprenant les comptes annuels et les rapports ainsi que les commentaires légaux ;</w:t>
      </w:r>
    </w:p>
    <w:p>
      <w:pPr>
        <w:pStyle w:val="Normal"/>
        <w:rPr/>
      </w:pPr>
      <w:r>
        <w:rPr/>
        <w:t>Vu la proposition d’affectation des résultats ; </w:t>
      </w:r>
    </w:p>
    <w:p>
      <w:pPr>
        <w:pStyle w:val="Normal"/>
        <w:rPr/>
      </w:pPr>
      <w:r>
        <w:rPr/>
        <w:t>Vu que le conseil communal prend également connaissance du rapport annuel de rémunérations du conseil d’administration ;</w:t>
      </w:r>
    </w:p>
    <w:p>
      <w:pPr>
        <w:pStyle w:val="Normal"/>
        <w:rPr/>
      </w:pPr>
      <w:r>
        <w:rPr/>
        <w:t>Vu la liste des adjudicataires, qui est sans objet pour l'exercice financier 2025 ;</w:t>
      </w:r>
    </w:p>
    <w:p>
      <w:pPr>
        <w:pStyle w:val="Normal"/>
        <w:rPr/>
      </w:pPr>
      <w:r>
        <w:rPr/>
        <w:t>Vu les nominations statutaires (à ce jour, aucune désignation de nouveaux candidats)</w:t>
      </w:r>
    </w:p>
    <w:p>
      <w:pPr>
        <w:pStyle w:val="Normal"/>
        <w:rPr/>
      </w:pPr>
      <w:r>
        <w:rPr/>
        <w:t>Que par cette raison le conseil d’administration a intégré toutes les informations pour pouvoir prendre la juste décision.</w:t>
      </w:r>
    </w:p>
    <w:p>
      <w:pPr>
        <w:pStyle w:val="Normal"/>
        <w:rPr/>
      </w:pPr>
      <w:r>
        <w:rPr/>
        <w:t>Considérant que la décharge est accordée individuellement aux administrateurs ;</w:t>
      </w:r>
    </w:p>
    <w:p>
      <w:pPr>
        <w:pStyle w:val="Normal"/>
        <w:rPr/>
      </w:pPr>
      <w:r>
        <w:rPr/>
        <w:t>Que la décharge est également donnée au réviseur / collège des contrôleurs aux comptes ;</w:t>
      </w:r>
    </w:p>
    <w:p>
      <w:pPr>
        <w:pStyle w:val="Normal"/>
        <w:rPr/>
      </w:pPr>
      <w:r>
        <w:rPr/>
        <w:t>Considérant que chaque associé dispose de 5 délégués à l’assemblée générale, parmi lesquels trois au moins représentent la majorité du Conseil communal ;</w:t>
      </w:r>
    </w:p>
    <w:p>
      <w:pPr>
        <w:pStyle w:val="Normal"/>
        <w:rPr/>
      </w:pPr>
      <w:r>
        <w:rPr/>
        <w:t>Vu les statuts d’IFIGA qui précise que ces délégués doivent être désignés par le conseil communal, proportionnellement à la composition dudit conseil communal , parmi les membres des conseils et collèges communaux de la commune ;</w:t>
      </w:r>
    </w:p>
    <w:p>
      <w:pPr>
        <w:pStyle w:val="Normal"/>
        <w:rPr/>
      </w:pPr>
      <w:r>
        <w:rPr/>
        <w:t>Ils ne peuvent être membres du personnel de l’intercommunale, ni du personnel et/ou des organes de gestion et de contrôle de la société privée associée aux intercommunales de distribution, ni d’une</w:t>
      </w:r>
    </w:p>
    <w:p>
      <w:pPr>
        <w:pStyle w:val="Normal"/>
        <w:rPr/>
      </w:pPr>
      <w:r>
        <w:rPr/>
        <w:t>personne morale qui a pour objet une activité similaire susceptible d’engendrer dans leur chef un conflit d’intérêt direct et permanent ;</w:t>
      </w:r>
    </w:p>
    <w:p>
      <w:pPr>
        <w:pStyle w:val="Normal"/>
        <w:rPr/>
      </w:pPr>
      <w:r>
        <w:rPr/>
        <w:t>Considérant que la commune souhaite, dans l’esprit du décret précité, jouer pleinement son rôle d’associée dans l’intercommunale ;</w:t>
      </w:r>
    </w:p>
    <w:p>
      <w:pPr>
        <w:pStyle w:val="Normal"/>
        <w:rPr/>
      </w:pPr>
      <w:r>
        <w:rPr/>
        <w:t>Que dans cet esprit, il importe que le conseil communal exprime sa position à l’égard des points portés à l’ordre du jour de l’assemblée générale ;</w:t>
      </w:r>
    </w:p>
    <w:p>
      <w:pPr>
        <w:pStyle w:val="Normal"/>
        <w:rPr/>
      </w:pPr>
      <w:r>
        <w:rPr/>
        <w:t>Vu les dispositions de la nouvelle loi communale ;</w:t>
      </w:r>
    </w:p>
    <w:p>
      <w:pPr>
        <w:pStyle w:val="Normal"/>
        <w:rPr/>
      </w:pPr>
      <w:r>
        <w:rPr/>
        <w:t> </w:t>
      </w:r>
    </w:p>
    <w:p>
      <w:pPr>
        <w:pStyle w:val="Normal"/>
        <w:rPr/>
      </w:pPr>
      <w:r>
        <w:rPr/>
        <w:t>DECIDE : à l'unanimité</w:t>
      </w:r>
    </w:p>
    <w:p>
      <w:pPr>
        <w:pStyle w:val="Normal"/>
        <w:rPr/>
      </w:pPr>
      <w:r>
        <w:rPr>
          <w:rStyle w:val="RGl14pod"/>
        </w:rPr>
        <w:t>Art. 1 :</w:t>
      </w:r>
      <w:r>
        <w:rPr/>
        <w:t xml:space="preserve">     De prendre connaissance des points portés à l’ordre du jour de l’Assemblée générale de l’intercommunale IFIGA </w:t>
      </w:r>
    </w:p>
    <w:p>
      <w:pPr>
        <w:pStyle w:val="Normal"/>
        <w:rPr/>
      </w:pPr>
      <w:r>
        <w:rPr>
          <w:rStyle w:val="RGl14pod"/>
        </w:rPr>
        <w:t>Art. 2 :</w:t>
      </w:r>
      <w:r>
        <w:rPr/>
        <w:t xml:space="preserve">     De prendre connaissance des rapports du conseil d’administration et du réviseur / collège des contrôleurs aux comptes concernant l’exercice 2025</w:t>
      </w:r>
    </w:p>
    <w:p>
      <w:pPr>
        <w:pStyle w:val="Normal"/>
        <w:rPr/>
      </w:pPr>
      <w:r>
        <w:rPr>
          <w:rStyle w:val="RGl14pod"/>
        </w:rPr>
        <w:t>Art. 3 :</w:t>
      </w:r>
      <w:r>
        <w:rPr/>
        <w:t xml:space="preserve">     D’approuver les comptes annuels arrêtés au 31 décembre 2025 et l’affectation des résultats (y compris l’affectation des résultats par secteur de compte) </w:t>
      </w:r>
    </w:p>
    <w:p>
      <w:pPr>
        <w:pStyle w:val="RGl6pod"/>
        <w:rPr/>
      </w:pPr>
      <w:r>
        <w:rPr>
          <w:rStyle w:val="RGl14pod"/>
        </w:rPr>
        <w:t>Art. 4 :</w:t>
      </w:r>
      <w:r>
        <w:rPr/>
        <w:t>    D’approuver le rapport annuel de rémunérations du conseil d’administration</w:t>
      </w:r>
    </w:p>
    <w:p>
      <w:pPr>
        <w:pStyle w:val="RGl6pod"/>
        <w:rPr/>
      </w:pPr>
      <w:r>
        <w:rPr>
          <w:rStyle w:val="RGl14pod"/>
        </w:rPr>
        <w:t>Art. 5 :</w:t>
      </w:r>
      <w:r>
        <w:rPr/>
        <w:t xml:space="preserve">     De marquer son accord sur la liste des adjudicataires et l’annexe avec mention ‘néant’</w:t>
      </w:r>
    </w:p>
    <w:p>
      <w:pPr>
        <w:pStyle w:val="RGl6pod"/>
        <w:rPr/>
      </w:pPr>
      <w:r>
        <w:rPr>
          <w:rStyle w:val="RGl14pod"/>
        </w:rPr>
        <w:t>Art. 6 :</w:t>
      </w:r>
      <w:r>
        <w:rPr/>
        <w:t xml:space="preserve">     De donner décharge, par vote distinct, aux administrateurs</w:t>
      </w:r>
    </w:p>
    <w:p>
      <w:pPr>
        <w:pStyle w:val="RGl6pod"/>
        <w:rPr/>
      </w:pPr>
      <w:r>
        <w:rPr>
          <w:rStyle w:val="RGl14pod"/>
        </w:rPr>
        <w:t>Art. 7 :</w:t>
      </w:r>
      <w:r>
        <w:rPr/>
        <w:t xml:space="preserve">     De donner décharge, par vote distinct, au réviseur / collège des contrôleurs aux comptes</w:t>
      </w:r>
    </w:p>
    <w:p>
      <w:pPr>
        <w:pStyle w:val="RGl6pod"/>
        <w:rPr/>
      </w:pPr>
      <w:r>
        <w:rPr>
          <w:rStyle w:val="RGl14pod"/>
        </w:rPr>
        <w:t>Art. 8 :</w:t>
      </w:r>
      <w:r>
        <w:rPr/>
        <w:t>    De marquer son accord sur les nominations statutaires</w:t>
      </w:r>
    </w:p>
    <w:p>
      <w:pPr>
        <w:pStyle w:val="Normal"/>
        <w:rPr/>
      </w:pPr>
      <w:r>
        <w:rPr>
          <w:rStyle w:val="RGl14pod"/>
        </w:rPr>
        <w:t>Art. 9 :</w:t>
      </w:r>
      <w:r>
        <w:rPr/>
        <w:t xml:space="preserve">     De charger les délégués à cette assemblée de se conformer à la volonté exprimée par le conseil communal </w:t>
      </w:r>
    </w:p>
    <w:p>
      <w:pPr>
        <w:pStyle w:val="Normal"/>
        <w:rPr/>
      </w:pPr>
      <w:r>
        <w:rPr>
          <w:rStyle w:val="RGl14pod"/>
        </w:rPr>
        <w:t>Art. 10 :</w:t>
      </w:r>
      <w:r>
        <w:rPr/>
        <w:t xml:space="preserve">   Copie de la présente délibération sera transmise aux autorités compétentes.</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Style w:val="Policepardfaut"/>
          <w:rFonts w:ascii="Calibri" w:hAnsi="Calibri"/>
          <w:sz w:val="22"/>
          <w:szCs w:val="22"/>
        </w:rPr>
        <w:t>Monsieur le Président clôt la séance à</w:t>
      </w:r>
      <w:r>
        <w:rPr>
          <w:rStyle w:val="Policepardfaut"/>
          <w:rFonts w:ascii="Calibri" w:hAnsi="Calibri"/>
          <w:sz w:val="22"/>
          <w:szCs w:val="22"/>
        </w:rPr>
        <w:t xml:space="preserve"> 21 heures 15</w:t>
      </w:r>
    </w:p>
    <w:p>
      <w:pPr>
        <w:pStyle w:val="Normal"/>
        <w:rPr>
          <w:rFonts w:ascii="Calibri" w:hAnsi="Calibri"/>
        </w:rPr>
      </w:pPr>
      <w:r>
        <w:rPr>
          <w:rFonts w:ascii="Calibri" w:hAnsi="Calibri"/>
        </w:rPr>
      </w:r>
    </w:p>
    <w:tbl>
      <w:tblPr>
        <w:tblW w:w="5000" w:type="pct"/>
        <w:jc w:val="right"/>
        <w:tblInd w:w="0" w:type="dxa"/>
        <w:tblLayout w:type="fixed"/>
        <w:tblCellMar>
          <w:top w:w="55" w:type="dxa"/>
          <w:left w:w="55" w:type="dxa"/>
          <w:bottom w:w="55" w:type="dxa"/>
          <w:right w:w="55" w:type="dxa"/>
        </w:tblCellMar>
      </w:tblPr>
      <w:tblGrid>
        <w:gridCol w:w="4699"/>
        <w:gridCol w:w="4707"/>
      </w:tblGrid>
      <w:tr>
        <w:trPr/>
        <w:tc>
          <w:tcPr>
            <w:tcW w:w="9406" w:type="dxa"/>
            <w:gridSpan w:val="2"/>
            <w:tcBorders/>
          </w:tcPr>
          <w:p>
            <w:pPr>
              <w:pStyle w:val="Standard2"/>
              <w:keepNext w:val="true"/>
              <w:rPr>
                <w:rFonts w:ascii="Calibri" w:hAnsi="Calibri"/>
                <w:b/>
                <w:b/>
                <w:bCs/>
                <w:sz w:val="4"/>
                <w:szCs w:val="4"/>
              </w:rPr>
            </w:pPr>
            <w:r>
              <w:rPr>
                <w:rFonts w:ascii="Calibri" w:hAnsi="Calibri"/>
                <w:b/>
                <w:bCs/>
                <w:sz w:val="4"/>
                <w:szCs w:val="4"/>
              </w:rPr>
            </w:r>
          </w:p>
        </w:tc>
      </w:tr>
      <w:tr>
        <w:trPr/>
        <w:tc>
          <w:tcPr>
            <w:tcW w:w="4699" w:type="dxa"/>
            <w:tcBorders/>
          </w:tcPr>
          <w:p>
            <w:pPr>
              <w:pStyle w:val="Standard2"/>
              <w:keepNext w:val="true"/>
              <w:rPr>
                <w:rFonts w:ascii="Calibri" w:hAnsi="Calibri"/>
                <w:b/>
                <w:b/>
                <w:bCs/>
              </w:rPr>
            </w:pPr>
            <w:r>
              <w:rPr>
                <w:rFonts w:ascii="Calibri" w:hAnsi="Calibri"/>
                <w:b/>
                <w:bCs/>
              </w:rPr>
              <w:t>La Directrice générale,</w:t>
            </w:r>
          </w:p>
        </w:tc>
        <w:tc>
          <w:tcPr>
            <w:tcW w:w="4707" w:type="dxa"/>
            <w:tcBorders/>
          </w:tcPr>
          <w:p>
            <w:pPr>
              <w:pStyle w:val="Standard2"/>
              <w:jc w:val="right"/>
              <w:rPr>
                <w:rFonts w:ascii="Calibri" w:hAnsi="Calibri"/>
                <w:b/>
                <w:b/>
                <w:bCs/>
              </w:rPr>
            </w:pPr>
            <w:r>
              <w:rPr>
                <w:rFonts w:ascii="Calibri" w:hAnsi="Calibri"/>
                <w:b/>
                <w:bCs/>
              </w:rPr>
              <w:t>Le Bourgmestre - Président,</w:t>
            </w:r>
          </w:p>
        </w:tc>
      </w:tr>
      <w:tr>
        <w:trPr/>
        <w:tc>
          <w:tcPr>
            <w:tcW w:w="4699" w:type="dxa"/>
            <w:tcBorders/>
          </w:tcPr>
          <w:p>
            <w:pPr>
              <w:pStyle w:val="Standard2"/>
              <w:rPr>
                <w:rFonts w:ascii="Calibri" w:hAnsi="Calibri"/>
                <w:b/>
                <w:b/>
                <w:bCs/>
              </w:rPr>
            </w:pPr>
            <w:r>
              <w:rPr>
                <w:rFonts w:ascii="Calibri" w:hAnsi="Calibri"/>
                <w:b/>
                <w:bCs/>
              </w:rPr>
              <w:t>(s) Amélie BAUSIER</w:t>
            </w:r>
          </w:p>
        </w:tc>
        <w:tc>
          <w:tcPr>
            <w:tcW w:w="4707" w:type="dxa"/>
            <w:tcBorders/>
          </w:tcPr>
          <w:p>
            <w:pPr>
              <w:pStyle w:val="Standard2"/>
              <w:jc w:val="right"/>
              <w:rPr>
                <w:rFonts w:ascii="Calibri" w:hAnsi="Calibri"/>
                <w:b/>
                <w:b/>
                <w:bCs/>
              </w:rPr>
            </w:pPr>
            <w:r>
              <w:rPr>
                <w:rFonts w:ascii="Calibri" w:hAnsi="Calibri"/>
                <w:b/>
                <w:bCs/>
              </w:rPr>
              <w:t>(s) Jean-Pierre BOURDEAUD'HUY</w:t>
            </w:r>
          </w:p>
        </w:tc>
      </w:tr>
    </w:tbl>
    <w:p>
      <w:pPr>
        <w:pStyle w:val="Normal"/>
        <w:rPr>
          <w:rFonts w:ascii="Calibri" w:hAnsi="Calibri"/>
        </w:rPr>
      </w:pPr>
      <w:r>
        <w:rPr>
          <w:rFonts w:ascii="Calibri" w:hAnsi="Calibri"/>
        </w:rPr>
      </w:r>
    </w:p>
    <w:sectPr>
      <w:footerReference w:type="default" r:id="rId2"/>
      <w:type w:val="nextPage"/>
      <w:pgSz w:w="12240" w:h="15840"/>
      <w:pgMar w:left="1417" w:right="1417" w:gutter="0" w:header="0" w:top="540" w:footer="720" w:bottom="899"/>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default"/>
  </w:font>
  <w:font w:name="Tahoma">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OpenSymbol">
    <w:altName w:val="Arial Unicode MS"/>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right"/>
      <w:rPr>
        <w:rFonts w:ascii="Calibri" w:hAnsi="Calibri"/>
        <w:bdr w:val="single" w:sz="2" w:space="1" w:color="000000"/>
      </w:rPr>
    </w:pPr>
    <w:r>
      <w:rPr>
        <w:rFonts w:ascii="Calibri" w:hAnsi="Calibri"/>
        <w:bdr w:val="single" w:sz="2" w:space="1" w:color="000000"/>
      </w:rPr>
      <w:fldChar w:fldCharType="begin"/>
    </w:r>
    <w:r>
      <w:rPr>
        <w:bdr w:val="single" w:sz="2" w:space="1" w:color="000000"/>
        <w:rFonts w:ascii="Calibri" w:hAnsi="Calibri"/>
      </w:rPr>
      <w:instrText xml:space="preserve"> PAGE </w:instrText>
    </w:r>
    <w:r>
      <w:rPr>
        <w:bdr w:val="single" w:sz="2" w:space="1" w:color="000000"/>
        <w:rFonts w:ascii="Calibri" w:hAnsi="Calibri"/>
      </w:rPr>
      <w:fldChar w:fldCharType="separate"/>
    </w:r>
    <w:r>
      <w:rPr>
        <w:bdr w:val="single" w:sz="2" w:space="1" w:color="000000"/>
        <w:rFonts w:ascii="Calibri" w:hAnsi="Calibri"/>
      </w:rPr>
      <w:t>16</w:t>
    </w:r>
    <w:r>
      <w:rPr>
        <w:bdr w:val="single" w:sz="2" w:space="1" w:color="000000"/>
        <w:rFonts w:ascii="Calibri" w:hAnsi="Calibri"/>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432"/>
        </w:tabs>
        <w:ind w:left="432" w:hanging="432"/>
      </w:pPr>
    </w:lvl>
    <w:lvl w:ilvl="1">
      <w:start w:val="1"/>
      <w:pStyle w:val="Heading2"/>
      <w:numFmt w:val="none"/>
      <w:suff w:val="nothing"/>
      <w:lvlText w:val="%2"/>
      <w:lvlJc w:val="left"/>
      <w:pPr>
        <w:tabs>
          <w:tab w:val="num" w:pos="576"/>
        </w:tabs>
        <w:ind w:left="576" w:hanging="576"/>
      </w:pPr>
    </w:lvl>
    <w:lvl w:ilvl="2">
      <w:start w:val="1"/>
      <w:pStyle w:val="Heading3"/>
      <w:numFmt w:val="none"/>
      <w:suff w:val="nothing"/>
      <w:lvlText w:val="%3"/>
      <w:lvlJc w:val="left"/>
      <w:pPr>
        <w:tabs>
          <w:tab w:val="num" w:pos="720"/>
        </w:tabs>
        <w:ind w:left="720" w:hanging="720"/>
      </w:pPr>
    </w:lvl>
    <w:lvl w:ilvl="3">
      <w:start w:val="1"/>
      <w:pStyle w:val="Heading4"/>
      <w:numFmt w:val="none"/>
      <w:suff w:val="nothing"/>
      <w:lvlText w:val="%4"/>
      <w:lvlJc w:val="left"/>
      <w:pPr>
        <w:tabs>
          <w:tab w:val="num" w:pos="864"/>
        </w:tabs>
        <w:ind w:left="864" w:hanging="864"/>
      </w:pPr>
    </w:lvl>
    <w:lvl w:ilvl="4">
      <w:start w:val="1"/>
      <w:pStyle w:val="Heading5"/>
      <w:numFmt w:val="none"/>
      <w:suff w:val="nothing"/>
      <w:lvlText w:val="%5"/>
      <w:lvlJc w:val="left"/>
      <w:pPr>
        <w:tabs>
          <w:tab w:val="num" w:pos="1008"/>
        </w:tabs>
        <w:ind w:left="1008" w:hanging="1008"/>
      </w:pPr>
    </w:lvl>
    <w:lvl w:ilvl="5">
      <w:start w:val="1"/>
      <w:pStyle w:val="Heading6"/>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pStyle w:val="Heading9"/>
      <w:numFmt w:val="none"/>
      <w:suff w:val="nothing"/>
      <w:lvlText w:val="%9"/>
      <w:lvlJc w:val="left"/>
      <w:pPr>
        <w:tabs>
          <w:tab w:val="num" w:pos="1584"/>
        </w:tabs>
        <w:ind w:left="1584" w:hanging="1584"/>
      </w:pPr>
    </w:lvl>
  </w:abstractNum>
  <w:abstractNum w:abstractNumId="2">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8">
    <w:abstractNumId w:val="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9">
    <w:abstractNumId w:val="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
    <w:abstractNumId w:val="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jc w:val="both"/>
    </w:pPr>
    <w:rPr>
      <w:rFonts w:ascii="Calibri" w:hAnsi="Calibri" w:eastAsia="Noto Serif CJK SC" w:cs="Lohit Devanagari"/>
      <w:color w:val="auto"/>
      <w:kern w:val="2"/>
      <w:sz w:val="22"/>
      <w:szCs w:val="24"/>
      <w:lang w:val="fr-FR" w:eastAsia="zh-CN" w:bidi="hi-IN"/>
    </w:rPr>
  </w:style>
  <w:style w:type="paragraph" w:styleId="Heading1">
    <w:name w:val="Heading 1"/>
    <w:basedOn w:val="Heading"/>
    <w:next w:val="Normal"/>
    <w:qFormat/>
    <w:pPr>
      <w:numPr>
        <w:ilvl w:val="0"/>
        <w:numId w:val="1"/>
      </w:numPr>
      <w:spacing w:before="240" w:after="120"/>
      <w:outlineLvl w:val="0"/>
    </w:pPr>
    <w:rPr>
      <w:b/>
      <w:bCs/>
      <w:sz w:val="36"/>
      <w:szCs w:val="36"/>
    </w:rPr>
  </w:style>
  <w:style w:type="paragraph" w:styleId="Heading2">
    <w:name w:val="Heading 2"/>
    <w:basedOn w:val="Normal"/>
    <w:next w:val="Normal"/>
    <w:qFormat/>
    <w:pPr>
      <w:keepNext w:val="true"/>
      <w:numPr>
        <w:ilvl w:val="1"/>
        <w:numId w:val="1"/>
      </w:numPr>
      <w:spacing w:before="0" w:after="0"/>
      <w:ind w:left="-1106" w:right="1586" w:hanging="28"/>
      <w:jc w:val="both"/>
      <w:outlineLvl w:val="1"/>
    </w:pPr>
    <w:rPr>
      <w:rFonts w:eastAsia="Arial Unicode MS" w:cs="Arial Unicode MS"/>
      <w:sz w:val="28"/>
      <w:szCs w:val="20"/>
    </w:rPr>
  </w:style>
  <w:style w:type="paragraph" w:styleId="Heading3">
    <w:name w:val="Heading 3"/>
    <w:basedOn w:val="Heading"/>
    <w:next w:val="Normal"/>
    <w:qFormat/>
    <w:pPr>
      <w:numPr>
        <w:ilvl w:val="2"/>
        <w:numId w:val="1"/>
      </w:numPr>
      <w:spacing w:before="140" w:after="120"/>
      <w:outlineLvl w:val="2"/>
    </w:pPr>
    <w:rPr>
      <w:b/>
      <w:bCs/>
      <w:color w:val="808080"/>
      <w:sz w:val="28"/>
      <w:szCs w:val="28"/>
    </w:rPr>
  </w:style>
  <w:style w:type="paragraph" w:styleId="Heading4">
    <w:name w:val="Heading 4"/>
    <w:basedOn w:val="Normal"/>
    <w:next w:val="Normal"/>
    <w:qFormat/>
    <w:pPr>
      <w:keepNext w:val="true"/>
      <w:numPr>
        <w:ilvl w:val="3"/>
        <w:numId w:val="1"/>
      </w:numPr>
      <w:spacing w:before="240" w:after="240"/>
      <w:ind w:left="1264" w:right="0" w:hanging="0"/>
      <w:jc w:val="center"/>
      <w:outlineLvl w:val="3"/>
    </w:pPr>
    <w:rPr>
      <w:b/>
      <w:bCs/>
      <w:sz w:val="28"/>
    </w:rPr>
  </w:style>
  <w:style w:type="paragraph" w:styleId="Heading5">
    <w:name w:val="Heading 5"/>
    <w:basedOn w:val="Normal"/>
    <w:next w:val="Normal"/>
    <w:qFormat/>
    <w:pPr>
      <w:keepNext w:val="true"/>
      <w:numPr>
        <w:ilvl w:val="4"/>
        <w:numId w:val="1"/>
      </w:numPr>
      <w:spacing w:before="240" w:after="240"/>
      <w:ind w:left="1264" w:right="0" w:hanging="0"/>
      <w:outlineLvl w:val="4"/>
    </w:pPr>
    <w:rPr>
      <w:b/>
      <w:bCs/>
      <w:sz w:val="28"/>
      <w:u w:val="single"/>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paragraph" w:styleId="Heading9">
    <w:name w:val="Heading 9"/>
    <w:basedOn w:val="Normal"/>
    <w:next w:val="Normal"/>
    <w:qFormat/>
    <w:pPr>
      <w:keepNext w:val="true"/>
      <w:numPr>
        <w:ilvl w:val="8"/>
        <w:numId w:val="1"/>
      </w:numPr>
      <w:pBdr>
        <w:top w:val="single" w:sz="4" w:space="0" w:color="000000"/>
        <w:left w:val="single" w:sz="4" w:space="0" w:color="000000"/>
        <w:bottom w:val="single" w:sz="4" w:space="0" w:color="000000"/>
        <w:right w:val="single" w:sz="4" w:space="0" w:color="000000"/>
      </w:pBdr>
      <w:spacing w:before="0" w:after="0"/>
      <w:ind w:left="2835" w:right="707" w:hanging="0"/>
      <w:jc w:val="center"/>
      <w:outlineLvl w:val="8"/>
    </w:pPr>
    <w:rPr>
      <w:szCs w:val="20"/>
      <w:lang w:val="fr-FR"/>
    </w:rPr>
  </w:style>
  <w:style w:type="character" w:styleId="PODNumberingSymbols">
    <w:name w:val="POD Numbering Symbols"/>
    <w:qFormat/>
    <w:rPr/>
  </w:style>
  <w:style w:type="character" w:styleId="PODBulletSymbols">
    <w:name w:val="POD Bullet Symbols"/>
    <w:qFormat/>
    <w:rPr/>
  </w:style>
  <w:style w:type="character" w:styleId="WW8Num7z1">
    <w:name w:val="WW8Num7z1"/>
    <w:qFormat/>
    <w:rPr>
      <w:rFonts w:ascii="Tahoma" w:hAnsi="Tahoma" w:eastAsia="Times New Roman" w:cs="Tahoma"/>
    </w:rPr>
  </w:style>
  <w:style w:type="character" w:styleId="WW8Num10z0">
    <w:name w:val="WW8Num10z0"/>
    <w:qFormat/>
    <w:rPr>
      <w:rFonts w:ascii="Tahoma" w:hAnsi="Tahoma" w:eastAsia="Times New Roman" w:cs="Tahoma"/>
    </w:rPr>
  </w:style>
  <w:style w:type="character" w:styleId="WW8Num10z1">
    <w:name w:val="WW8Num10z1"/>
    <w:qFormat/>
    <w:rPr>
      <w:rFonts w:ascii="Courier New" w:hAnsi="Courier New" w:cs="Courier New"/>
    </w:rPr>
  </w:style>
  <w:style w:type="character" w:styleId="WW8Num10z2">
    <w:name w:val="WW8Num10z2"/>
    <w:qFormat/>
    <w:rPr>
      <w:rFonts w:ascii="Wingdings" w:hAnsi="Wingdings"/>
    </w:rPr>
  </w:style>
  <w:style w:type="character" w:styleId="WW8Num10z3">
    <w:name w:val="WW8Num10z3"/>
    <w:qFormat/>
    <w:rPr>
      <w:rFonts w:ascii="Symbol" w:hAnsi="Symbol"/>
    </w:rPr>
  </w:style>
  <w:style w:type="character" w:styleId="Policepardfaut">
    <w:name w:val="Police par défaut"/>
    <w:qFormat/>
    <w:rPr/>
  </w:style>
  <w:style w:type="character" w:styleId="PageNumber">
    <w:name w:val="Page Number"/>
    <w:basedOn w:val="Policepardfaut"/>
    <w:rPr/>
  </w:style>
  <w:style w:type="character" w:styleId="RGl1pod">
    <w:name w:val="rGl1pod"/>
    <w:qFormat/>
    <w:rPr>
      <w:b/>
    </w:rPr>
  </w:style>
  <w:style w:type="character" w:styleId="RGl3pod">
    <w:name w:val="rGl3pod"/>
    <w:qFormat/>
    <w:rPr>
      <w:b/>
      <w:u w:val="single"/>
    </w:rPr>
  </w:style>
  <w:style w:type="character" w:styleId="RGl4pod">
    <w:name w:val="rGl4pod"/>
    <w:qFormat/>
    <w:rPr>
      <w:vertAlign w:val="superscript"/>
    </w:rPr>
  </w:style>
  <w:style w:type="character" w:styleId="RGl5pod">
    <w:name w:val="rGl5pod"/>
    <w:qFormat/>
    <w:rPr>
      <w:b/>
      <w:i/>
    </w:rPr>
  </w:style>
  <w:style w:type="character" w:styleId="RGl14pod">
    <w:name w:val="rGl14pod"/>
    <w:qFormat/>
    <w:rPr>
      <w:u w:val="single"/>
    </w:rPr>
  </w:style>
  <w:style w:type="paragraph" w:styleId="ParaKWN">
    <w:name w:val="ParaKWN"/>
    <w:basedOn w:val="Normal"/>
    <w:qFormat/>
    <w:pPr>
      <w:keepNext w:val="true"/>
    </w:pPr>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PodPageBreakBefore">
    <w:name w:val="podPageBreakBefore"/>
    <w:qFormat/>
    <w:pPr>
      <w:pageBreakBefore/>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ColumnBreak">
    <w:name w:val="podColumnBreak"/>
    <w:qFormat/>
    <w:pPr>
      <w:widowControl/>
      <w:kinsoku w:val="true"/>
      <w:overflowPunct w:val="true"/>
      <w:autoSpaceDE w:val="true"/>
      <w:bidi w:val="0"/>
    </w:pPr>
    <w:rPr>
      <w:rFonts w:ascii="Liberation Serif" w:hAnsi="Liberation Serif" w:eastAsia="Noto Serif CJK SC" w:cs="Lohit Devanagari"/>
      <w:color w:val="auto"/>
      <w:kern w:val="2"/>
      <w:sz w:val="24"/>
      <w:szCs w:val="24"/>
      <w:lang w:val="fr-FR" w:eastAsia="zh-CN" w:bidi="hi-IN"/>
    </w:rPr>
  </w:style>
  <w:style w:type="paragraph" w:styleId="PodBulletItem">
    <w:name w:val="podBulletItem"/>
    <w:basedOn w:val="Normal"/>
    <w:qFormat/>
    <w:pPr>
      <w:numPr>
        <w:ilvl w:val="0"/>
        <w:numId w:val="5"/>
      </w:numPr>
    </w:pPr>
    <w:rPr/>
  </w:style>
  <w:style w:type="paragraph" w:styleId="PodNumberItem">
    <w:name w:val="podNumberItem"/>
    <w:basedOn w:val="Normal"/>
    <w:qFormat/>
    <w:pPr>
      <w:numPr>
        <w:ilvl w:val="0"/>
        <w:numId w:val="4"/>
      </w:numPr>
    </w:pPr>
    <w:rPr/>
  </w:style>
  <w:style w:type="paragraph" w:styleId="PodBulletItemKeepWithNext">
    <w:name w:val="podBulletItemKeepWithNext"/>
    <w:basedOn w:val="Normal"/>
    <w:qFormat/>
    <w:pPr>
      <w:keepNext w:val="true"/>
      <w:numPr>
        <w:ilvl w:val="0"/>
        <w:numId w:val="5"/>
      </w:numPr>
    </w:pPr>
    <w:rPr/>
  </w:style>
  <w:style w:type="paragraph" w:styleId="PodNumberItemKeepWithNext">
    <w:name w:val="podNumberItemKeepWithNext"/>
    <w:basedOn w:val="Normal"/>
    <w:qFormat/>
    <w:pPr>
      <w:keepNext w:val="true"/>
      <w:numPr>
        <w:ilvl w:val="0"/>
        <w:numId w:val="4"/>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centr">
    <w:name w:val="Normal centré"/>
    <w:basedOn w:val="Normal"/>
    <w:qFormat/>
    <w:pPr>
      <w:pBdr>
        <w:top w:val="single" w:sz="4" w:space="1" w:color="000000"/>
        <w:left w:val="single" w:sz="4" w:space="4" w:color="000000"/>
        <w:bottom w:val="single" w:sz="4" w:space="1" w:color="000000"/>
        <w:right w:val="single" w:sz="4" w:space="4" w:color="000000"/>
      </w:pBdr>
      <w:tabs>
        <w:tab w:val="clear" w:pos="709"/>
        <w:tab w:val="left" w:pos="4962" w:leader="none"/>
      </w:tabs>
      <w:spacing w:before="0" w:after="0"/>
      <w:ind w:left="2552" w:right="1586" w:hanging="0"/>
      <w:jc w:val="center"/>
    </w:pPr>
    <w:rPr>
      <w:rFonts w:ascii="Tahoma" w:hAnsi="Tahoma"/>
      <w:b/>
      <w:bCs/>
      <w:sz w:val="28"/>
      <w:lang w:val="fr-FR"/>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Normal"/>
    <w:pPr>
      <w:tabs>
        <w:tab w:val="clear" w:pos="709"/>
        <w:tab w:val="center" w:pos="4320" w:leader="none"/>
        <w:tab w:val="right" w:pos="8640" w:leader="none"/>
      </w:tabs>
    </w:pPr>
    <w:rPr>
      <w:rFonts w:ascii="Times" w:hAnsi="Times"/>
      <w:smallCaps/>
      <w:szCs w:val="20"/>
      <w:lang w:val="fr-FR"/>
    </w:rPr>
  </w:style>
  <w:style w:type="paragraph" w:styleId="Textedebulles">
    <w:name w:val="Texte de bulles"/>
    <w:basedOn w:val="Normal"/>
    <w:qFormat/>
    <w:pPr/>
    <w:rPr>
      <w:rFonts w:ascii="Tahoma" w:hAnsi="Tahoma" w:cs="Tahoma"/>
      <w:sz w:val="16"/>
      <w:szCs w:val="16"/>
    </w:rPr>
  </w:style>
  <w:style w:type="paragraph" w:styleId="FrameContents">
    <w:name w:val="Frame Contents"/>
    <w:basedOn w:val="TextBody"/>
    <w:qFormat/>
    <w:pPr/>
    <w:rPr/>
  </w:style>
  <w:style w:type="paragraph" w:styleId="Header">
    <w:name w:val="Header"/>
    <w:basedOn w:val="Normal"/>
    <w:pPr>
      <w:suppressLineNumbers/>
      <w:tabs>
        <w:tab w:val="clear" w:pos="709"/>
        <w:tab w:val="center" w:pos="4818" w:leader="none"/>
        <w:tab w:val="right" w:pos="9637" w:leader="none"/>
      </w:tabs>
    </w:pPr>
    <w:rPr/>
  </w:style>
  <w:style w:type="paragraph" w:styleId="Ttirebordureshautbas">
    <w:name w:val="Ttire_bordures_haut_bas"/>
    <w:basedOn w:val="Heading"/>
    <w:qFormat/>
    <w:pPr>
      <w:pBdr>
        <w:top w:val="single" w:sz="2" w:space="1" w:color="000000"/>
        <w:bottom w:val="single" w:sz="2" w:space="1" w:color="000000"/>
      </w:pBdr>
      <w:jc w:val="left"/>
    </w:pPr>
    <w:rPr>
      <w:color w:val="000000"/>
    </w:rPr>
  </w:style>
  <w:style w:type="paragraph" w:styleId="TableContents">
    <w:name w:val="Table Contents"/>
    <w:basedOn w:val="Normal"/>
    <w:qFormat/>
    <w:pPr>
      <w:suppressLineNumbers/>
    </w:pPr>
    <w:rPr/>
  </w:style>
  <w:style w:type="paragraph" w:styleId="TableHeading1">
    <w:name w:val="Table Heading"/>
    <w:basedOn w:val="TableContents"/>
    <w:qFormat/>
    <w:pPr>
      <w:suppressLineNumbers/>
      <w:jc w:val="center"/>
    </w:pPr>
    <w:rPr>
      <w:b/>
      <w:bCs/>
      <w:i/>
      <w:i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Standard2">
    <w:name w:val="Standard2"/>
    <w:qFormat/>
    <w:pPr>
      <w:widowControl/>
      <w:kinsoku w:val="true"/>
      <w:overflowPunct w:val="true"/>
      <w:autoSpaceDE w:val="true"/>
      <w:bidi w:val="0"/>
    </w:pPr>
    <w:rPr>
      <w:rFonts w:ascii="Tahoma" w:hAnsi="Tahoma" w:eastAsia="Noto Serif CJK SC" w:cs="Lohit Devanagari"/>
      <w:color w:val="auto"/>
      <w:kern w:val="2"/>
      <w:sz w:val="20"/>
      <w:szCs w:val="24"/>
      <w:lang w:val="fr-FR" w:eastAsia="zh-CN" w:bidi="hi-IN"/>
    </w:rPr>
  </w:style>
  <w:style w:type="paragraph" w:styleId="PmParaKeepWithNext">
    <w:name w:val="pmParaKeepWithNext"/>
    <w:basedOn w:val="Normal"/>
    <w:qFormat/>
    <w:pPr>
      <w:keepNext w:val="true"/>
    </w:pPr>
    <w:rPr/>
  </w:style>
  <w:style w:type="paragraph" w:styleId="XSmallText">
    <w:name w:val="xSmallText"/>
    <w:basedOn w:val="Normal"/>
    <w:qFormat/>
    <w:pPr/>
    <w:rPr>
      <w:rFonts w:ascii="Liberation Sans" w:hAnsi="Liberation Sans"/>
      <w:sz w:val="14"/>
    </w:rPr>
  </w:style>
  <w:style w:type="paragraph" w:styleId="SmallText">
    <w:name w:val="smallText"/>
    <w:basedOn w:val="Normal"/>
    <w:qFormat/>
    <w:pPr/>
    <w:rPr>
      <w:sz w:val="18"/>
    </w:rPr>
  </w:style>
  <w:style w:type="paragraph" w:styleId="LargeText">
    <w:name w:val="largeText"/>
    <w:basedOn w:val="SmallText"/>
    <w:qFormat/>
    <w:pPr/>
    <w:rPr>
      <w:sz w:val="32"/>
    </w:rPr>
  </w:style>
  <w:style w:type="paragraph" w:styleId="XLargeText">
    <w:name w:val="xLargeText"/>
    <w:basedOn w:val="LargeText"/>
    <w:qFormat/>
    <w:pPr/>
    <w:rPr>
      <w:rFonts w:ascii="Times New Roman" w:hAnsi="Times New Roman"/>
      <w:sz w:val="36"/>
    </w:rPr>
  </w:style>
  <w:style w:type="paragraph" w:styleId="Textedelibe">
    <w:name w:val="texte_delibe"/>
    <w:basedOn w:val="Normal"/>
    <w:qFormat/>
    <w:pPr>
      <w:spacing w:lineRule="auto" w:line="240" w:before="0" w:after="170"/>
    </w:pPr>
    <w:rPr>
      <w:rFonts w:ascii="Liberation Sans" w:hAnsi="Liberation Sans"/>
      <w:sz w:val="22"/>
    </w:rPr>
  </w:style>
  <w:style w:type="paragraph" w:styleId="Comment">
    <w:name w:val="Comment"/>
    <w:basedOn w:val="Normal"/>
    <w:qFormat/>
    <w:pPr/>
    <w:rPr>
      <w:sz w:val="20"/>
      <w:szCs w:val="20"/>
    </w:rPr>
  </w:style>
  <w:style w:type="paragraph" w:styleId="MltAssembly">
    <w:name w:val="mltAssembly"/>
    <w:basedOn w:val="Normal"/>
    <w:qFormat/>
    <w:pPr>
      <w:jc w:val="left"/>
    </w:pPr>
    <w:rPr/>
  </w:style>
  <w:style w:type="paragraph" w:styleId="RGl6pod">
    <w:name w:val="rGl6pod"/>
    <w:basedOn w:val="Normal"/>
    <w:qFormat/>
    <w:pPr>
      <w:jc w:val="both"/>
    </w:pPr>
    <w:rPr/>
  </w:style>
  <w:style w:type="paragraph" w:styleId="RGl7pod">
    <w:name w:val="rGl7pod"/>
    <w:basedOn w:val="PodBulletItem"/>
    <w:qFormat/>
    <w:pPr>
      <w:jc w:val="both"/>
    </w:pPr>
    <w:rPr/>
  </w:style>
  <w:style w:type="paragraph" w:styleId="RGl8pod">
    <w:name w:val="rGl8pod"/>
    <w:basedOn w:val="Normal"/>
    <w:qFormat/>
    <w:pPr>
      <w:ind w:right="90" w:hanging="0"/>
      <w:jc w:val="both"/>
    </w:pPr>
    <w:rPr/>
  </w:style>
  <w:style w:type="paragraph" w:styleId="RGl10pod">
    <w:name w:val="rGl10pod"/>
    <w:basedOn w:val="Tablecell"/>
    <w:qFormat/>
    <w:pPr>
      <w:jc w:val="both"/>
    </w:pPr>
    <w:rPr/>
  </w:style>
  <w:style w:type="paragraph" w:styleId="RGl12pod">
    <w:name w:val="rGl12pod"/>
    <w:basedOn w:val="Tablecell"/>
    <w:qFormat/>
    <w:pPr>
      <w:jc w:val="center"/>
    </w:pPr>
    <w:rPr/>
  </w:style>
  <w:style w:type="paragraph" w:styleId="RGl13pod">
    <w:name w:val="rGl13pod"/>
    <w:basedOn w:val="Tablecell"/>
    <w:qFormat/>
    <w:pPr>
      <w:jc w:val="righ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Lcircle">
    <w:name w:val="L-circle"/>
    <w:qFormat/>
  </w:style>
  <w:style w:type="numbering" w:styleId="Lsquare">
    <w:name w:val="L-square"/>
    <w:qFormat/>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37</TotalTime>
  <Application>LibreOffice/7.3.7.2$Linux_X86_64 LibreOffice_project/30$Build-2</Application>
  <AppVersion>15.0000</AppVersion>
  <Pages>2</Pages>
  <Words>171</Words>
  <Characters>1518</Characters>
  <CharactersWithSpaces>1608</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2025-03-12T09:47:43Z</dcterms:created>
  <dc:creator/>
  <dc:description/>
  <dc:language>en-US</dc:language>
  <cp:lastModifiedBy/>
  <dcterms:modified xsi:type="dcterms:W3CDTF">2026-10-07T15:08:33Z</dcterms:modified>
  <cp:revision>59</cp:revision>
  <dc:subject/>
  <dc:title>tmpquZvdR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