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top w:val="single" w:sz="2" w:space="1" w:color="000000"/>
          <w:left w:val="single" w:sz="2" w:space="1" w:color="000000"/>
          <w:bottom w:val="single" w:sz="2" w:space="1" w:color="000000"/>
          <w:right w:val="single" w:sz="2" w:space="1" w:color="000000"/>
        </w:pBdr>
        <w:jc w:val="center"/>
        <w:rPr>
          <w:rFonts w:ascii="Calibri" w:hAnsi="Calibri" w:cs="Tahoma"/>
          <w:b/>
          <w:b/>
          <w:bCs/>
          <w:sz w:val="28"/>
          <w:szCs w:val="28"/>
          <w:u w:val="single"/>
        </w:rPr>
      </w:pPr>
      <w:r>
        <w:rPr>
          <w:rFonts w:cs="Tahoma" w:ascii="Calibri" w:hAnsi="Calibri"/>
          <w:b/>
          <w:bCs/>
          <w:sz w:val="28"/>
          <w:szCs w:val="28"/>
          <w:u w:val="single"/>
        </w:rPr>
        <w:t xml:space="preserve">Séance </w:t>
      </w:r>
      <w:r>
        <w:rPr>
          <w:rFonts w:cs="Tahoma" w:ascii="Calibri" w:hAnsi="Calibri"/>
          <w:b/>
          <w:bCs/>
          <w:sz w:val="28"/>
          <w:szCs w:val="28"/>
          <w:u w:val="single"/>
        </w:rPr>
        <w:t xml:space="preserve">du Conseil Communal </w:t>
      </w:r>
      <w:r>
        <w:rPr>
          <w:rFonts w:cs="Tahoma" w:ascii="Calibri" w:hAnsi="Calibri"/>
          <w:b/>
          <w:bCs/>
          <w:sz w:val="28"/>
          <w:szCs w:val="28"/>
          <w:u w:val="single"/>
        </w:rPr>
        <w:t>du 28 mai 2026 (19:30)</w:t>
      </w:r>
    </w:p>
    <w:p>
      <w:pPr>
        <w:pStyle w:val="Normal"/>
        <w:rPr>
          <w:rFonts w:ascii="Calibri" w:hAnsi="Calibri" w:cs="Tahoma"/>
          <w:sz w:val="20"/>
          <w:szCs w:val="20"/>
        </w:rPr>
      </w:pPr>
      <w:r>
        <w:rPr>
          <w:rFonts w:cs="Tahoma" w:ascii="Calibri" w:hAnsi="Calibri"/>
          <w:sz w:val="20"/>
          <w:szCs w:val="20"/>
        </w:rPr>
      </w:r>
    </w:p>
    <w:p>
      <w:pPr>
        <w:pStyle w:val="Normal"/>
        <w:jc w:val="both"/>
        <w:rPr>
          <w:rFonts w:ascii="Calibri" w:hAnsi="Calibri"/>
          <w:caps/>
          <w:u w:val="single"/>
        </w:rPr>
      </w:pPr>
      <w:r>
        <w:rPr>
          <w:rFonts w:ascii="Calibri" w:hAnsi="Calibri"/>
          <w:b/>
          <w:bCs/>
          <w:caps/>
          <w:u w:val="single"/>
        </w:rPr>
        <w:t xml:space="preserve">Composition de l’assemblée </w:t>
      </w:r>
      <w:r>
        <w:rPr>
          <w:rFonts w:ascii="Calibri" w:hAnsi="Calibri"/>
          <w:b/>
          <w:bCs/>
          <w:caps/>
          <w:u w:val="single"/>
        </w:rPr>
        <w:t>:</w:t>
      </w:r>
    </w:p>
    <w:p>
      <w:pPr>
        <w:pStyle w:val="Normal"/>
        <w:jc w:val="both"/>
        <w:rPr>
          <w:rFonts w:ascii="Calibri" w:hAnsi="Calibri"/>
          <w:b/>
          <w:b/>
          <w:bCs/>
          <w:caps/>
          <w:u w:val="single"/>
        </w:rPr>
      </w:pPr>
      <w:r>
        <w:rPr>
          <w:rFonts w:ascii="Calibri" w:hAnsi="Calibri"/>
          <w:b/>
          <w:bCs/>
          <w:caps/>
          <w:u w:val="single"/>
        </w:rPr>
      </w:r>
    </w:p>
    <w:p>
      <w:pPr>
        <w:pStyle w:val="Normal"/>
        <w:tabs>
          <w:tab w:val="clear" w:pos="709"/>
        </w:tabs>
        <w:spacing w:before="0" w:after="0"/>
        <w:jc w:val="both"/>
        <w:rPr>
          <w:rFonts w:ascii="Calibri" w:hAnsi="Calibri"/>
          <w:b w:val="false"/>
          <w:b w:val="false"/>
          <w:bCs w:val="false"/>
          <w:u w:val="single"/>
        </w:rPr>
      </w:pPr>
      <w:r>
        <w:rPr>
          <w:rFonts w:ascii="Calibri" w:hAnsi="Calibri"/>
          <w:b w:val="false"/>
          <w:bCs w:val="false"/>
          <w:u w:val="single"/>
        </w:rPr>
        <w:t>PRESENTS :</w:t>
      </w:r>
    </w:p>
    <w:p>
      <w:pPr>
        <w:pStyle w:val="MltAssembly"/>
        <w:rPr/>
      </w:pPr>
      <w:r>
        <w:rPr/>
        <w:t>Monsieur J-P. BOURDEAUD'HUY, Bourgmestre - Président;</w:t>
        <w:br/>
        <w:t>Madame Ch. VERSCHUERE, Monsieur D. DETEMMERMAN, Madame M-F BOUDRY, Échevins;</w:t>
        <w:br/>
        <w:t>Madame V. GUEMJOM, Madame V. WEYTSMAN, Madame M-R MAES, Monsieur M. VANHONACKER, Monsieur S. MORJEAN, Monsieur Ph. PHALEMPIN, Madame F. HERNOULD, Conseillers;</w:t>
        <w:br/>
        <w:t>Monsieur Ph. D'HONDT, Président du CPAS - siégeant avec voix consultative;</w:t>
        <w:br/>
        <w:t>Madame A. BAUSIER, Directrice générale;</w:t>
      </w:r>
    </w:p>
    <w:p>
      <w:pPr>
        <w:pStyle w:val="Normal"/>
        <w:tabs>
          <w:tab w:val="clear" w:pos="709"/>
        </w:tabs>
        <w:spacing w:before="0" w:after="0"/>
        <w:jc w:val="both"/>
        <w:rPr>
          <w:rFonts w:ascii="Calibri" w:hAnsi="Calibri"/>
          <w:u w:val="single"/>
        </w:rPr>
      </w:pPr>
      <w:r>
        <w:rPr>
          <w:rFonts w:ascii="Calibri" w:hAnsi="Calibri"/>
          <w:u w:val="single"/>
        </w:rPr>
        <w:t>EXCUSES :</w:t>
      </w:r>
    </w:p>
    <w:p>
      <w:pPr>
        <w:pStyle w:val="MltAssembly"/>
        <w:rPr/>
      </w:pPr>
      <w:r>
        <w:rPr/>
        <w:t>Madame J. DEBRABANDERE, Monsieur E. DE FRENE, Conseillers;</w:t>
      </w:r>
    </w:p>
    <w:p>
      <w:pPr>
        <w:pStyle w:val="Normal"/>
        <w:tabs>
          <w:tab w:val="clear" w:pos="709"/>
        </w:tabs>
        <w:spacing w:before="0" w:after="0"/>
        <w:jc w:val="both"/>
        <w:rPr>
          <w:rFonts w:ascii="Calibri" w:hAnsi="Calibri"/>
        </w:rPr>
      </w:pPr>
      <w:r>
        <w:rPr>
          <w:rFonts w:ascii="Calibri" w:hAnsi="Calibri"/>
        </w:rPr>
      </w:r>
    </w:p>
    <w:p>
      <w:pPr>
        <w:pStyle w:val="Normal"/>
        <w:jc w:val="both"/>
        <w:rPr>
          <w:rFonts w:ascii="Calibri" w:hAnsi="Calibri"/>
          <w:b/>
          <w:b/>
          <w:bCs/>
          <w:u w:val="single"/>
        </w:rPr>
      </w:pPr>
      <w:r>
        <w:rPr>
          <w:rFonts w:ascii="Calibri" w:hAnsi="Calibri"/>
          <w:b/>
          <w:bCs/>
          <w:u w:val="single"/>
        </w:rPr>
        <w:t>SEANCE PUBLIQUE</w:t>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N°1 : Procès-verbal séance précédente ; approbation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Normal"/>
        <w:rPr/>
      </w:pPr>
      <w:r>
        <w:rPr/>
        <w:t>DECIDE : à l'unanimité</w:t>
      </w:r>
    </w:p>
    <w:p>
      <w:pPr>
        <w:pStyle w:val="Normal"/>
        <w:rPr/>
      </w:pPr>
      <w:r>
        <w:rPr/>
        <w:t>d'approuver le procès-verbal de la séance du 29/04/2026</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N°2 : Rapport annuel de rémunération et de présences des membres du Conseil ; décision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Normal"/>
        <w:rPr/>
      </w:pPr>
      <w:r>
        <w:rPr/>
        <w:t>Vu le Code de la Démocratie Locale et de la Décentralisation ;</w:t>
      </w:r>
    </w:p>
    <w:p>
      <w:pPr>
        <w:pStyle w:val="Normal"/>
        <w:rPr/>
      </w:pPr>
      <w:r>
        <w:rPr/>
        <w:t>Vu le décret du 29 mars 2018 modifiant le Code de la Démocratie Locale et de la Décentralisation en vue de renforcer la gouvernance et la transparence dans l’exécution des mandats publics au sein des structures locales et supra-locales et de leurs filiales ;</w:t>
      </w:r>
    </w:p>
    <w:p>
      <w:pPr>
        <w:pStyle w:val="Normal"/>
        <w:rPr/>
      </w:pPr>
      <w:r>
        <w:rPr/>
        <w:t>Considérant que ce décret traduit les orientations du Gouvernement énoncées dans sa Déclaration de politique régionale 2017-2019 ainsi que les recommandations formulées par le rapport de la Commission d'enquête parlementaire chargée d' examiner la transparence et le fonctionnement du Groupe PUBLIFIN du 6 juillet 2017 ;</w:t>
      </w:r>
    </w:p>
    <w:p>
      <w:pPr>
        <w:pStyle w:val="Normal"/>
        <w:rPr/>
      </w:pPr>
      <w:r>
        <w:rPr/>
        <w:t>Vu le point 13.3 de la circulaire du 18/04/2018 stipulant que "le Conseil communal, provincial ou de CPAS ainsi que le principal organe de gestion de l'intercommunale, des sociétés à participation publique locale significative, de l'association de pouvoirs publics visées à l'article 118 de la loi du 8/7/1976 organique des centres publics d'action sociale, de la société de logement de service public, de I'ASBL communale ou provinciale, de la régie communale ou provinciale autonome, de l'association de projet ou de tout autre organisme supra-local établit un rapport de rémunération écrit reprenant un relevé individuel et nominatif des jetons, rémunérations ainsi eu des avantages en nature perçus dans le courant de l'exercice comptable précédent, par les mandataires, les personnes non élues et titulaires de la fonction dirigeante locale " ;</w:t>
      </w:r>
    </w:p>
    <w:p>
      <w:pPr>
        <w:pStyle w:val="Normal"/>
        <w:rPr/>
      </w:pPr>
      <w:r>
        <w:rPr/>
        <w:t>Vu les modèles de rapport de rémunération à utiliser pour satisfaire aux obligations introduites par l'article 71 du décret du 29/03/2018 ;</w:t>
      </w:r>
    </w:p>
    <w:p>
      <w:pPr>
        <w:pStyle w:val="Normal"/>
        <w:rPr/>
      </w:pPr>
      <w:r>
        <w:rPr/>
        <w:t>Considérant qu'aucun avantage en nature n'a été perçu ;</w:t>
      </w:r>
    </w:p>
    <w:p>
      <w:pPr>
        <w:pStyle w:val="Normal"/>
        <w:rPr/>
      </w:pPr>
      <w:r>
        <w:rPr/>
        <w:t>Considérant que le rapport en annexe fait partie intégrante de la présente délibération ;</w:t>
      </w:r>
    </w:p>
    <w:p>
      <w:pPr>
        <w:pStyle w:val="Normal"/>
        <w:rPr/>
      </w:pPr>
      <w:r>
        <w:rPr/>
        <w:t>Considérant que ce rapport de rémunération doit être transmis au Gouvernement Wallon ;</w:t>
      </w:r>
    </w:p>
    <w:p>
      <w:pPr>
        <w:pStyle w:val="Normal"/>
        <w:rPr/>
      </w:pPr>
      <w:r>
        <w:rPr/>
        <w:t>DECIDE : à l'unanimité</w:t>
      </w:r>
    </w:p>
    <w:p>
      <w:pPr>
        <w:pStyle w:val="Normal"/>
        <w:rPr/>
      </w:pPr>
      <w:r>
        <w:rPr>
          <w:rStyle w:val="FwK1pod"/>
        </w:rPr>
        <w:t>Article premier :</w:t>
      </w:r>
      <w:r>
        <w:rPr/>
        <w:t xml:space="preserve"> D’arrêter le rapport de rémunération et de présences repris en annexe des membres du Conseil communal, aux réunions communales et ce durant l’exercice 2025.</w:t>
      </w:r>
    </w:p>
    <w:p>
      <w:pPr>
        <w:pStyle w:val="Normal"/>
        <w:rPr/>
      </w:pPr>
      <w:r>
        <w:rPr>
          <w:rStyle w:val="FwK1pod"/>
        </w:rPr>
        <w:t>Art.2. :</w:t>
      </w:r>
      <w:r>
        <w:rPr/>
        <w:t xml:space="preserve"> De transmettre les rapports annuels de rémunérations et de présences des mandataires communaux au SPW Direction de la Législation organique, Avenue Gouverneur Bovesse 100 – 5100 NAMUR.</w:t>
      </w:r>
    </w:p>
    <w:p>
      <w:pPr>
        <w:pStyle w:val="Normal"/>
        <w:rPr/>
      </w:pPr>
      <w:r>
        <w:rPr/>
        <w:t> </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N°3 : CPAS - Comptes annuels, bilan et compte de résultats de l'exercice 2025; tutelle d'approbation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Normal"/>
        <w:rPr/>
      </w:pPr>
      <w:r>
        <w:rPr/>
        <w:t>Vu la Loi organique du 08 juillet 1976 des Cpas ;</w:t>
      </w:r>
    </w:p>
    <w:p>
      <w:pPr>
        <w:pStyle w:val="Normal"/>
        <w:rPr/>
      </w:pPr>
      <w:r>
        <w:rPr/>
        <w:t>Vu la transmission des comptes annuels 2025 (compte budgétaire, bilan, compte de résultat et annexe) à l’Administration communale par le Cpas ;</w:t>
      </w:r>
    </w:p>
    <w:p>
      <w:pPr>
        <w:pStyle w:val="Normal"/>
        <w:rPr/>
      </w:pPr>
      <w:r>
        <w:rPr/>
        <w:t>Vu la présentation desdites pièces par Monsieur D’HONDT Philippe, Président du Cpas ;</w:t>
      </w:r>
    </w:p>
    <w:p>
      <w:pPr>
        <w:pStyle w:val="Normal"/>
        <w:rPr/>
      </w:pPr>
      <w:r>
        <w:rPr/>
        <w:t>DECIDE : à l'unanimité</w:t>
      </w:r>
    </w:p>
    <w:p>
      <w:pPr>
        <w:pStyle w:val="Normal"/>
        <w:rPr/>
      </w:pPr>
      <w:r>
        <w:rPr>
          <w:rStyle w:val="FwK1pod"/>
        </w:rPr>
        <w:t>Article premier :</w:t>
      </w:r>
      <w:r>
        <w:rPr/>
        <w:t xml:space="preserve"> D'approuver les comptes annuels de l'exercice 2025 du Cpas, suivant les chiffres repris ci-après :</w:t>
      </w:r>
    </w:p>
    <w:tbl>
      <w:tblPr>
        <w:tblW w:w="5000" w:type="pct"/>
        <w:jc w:val="left"/>
        <w:tblInd w:w="0" w:type="dxa"/>
        <w:tblLayout w:type="fixed"/>
        <w:tblCellMar>
          <w:top w:w="57" w:type="dxa"/>
          <w:left w:w="57" w:type="dxa"/>
          <w:bottom w:w="57" w:type="dxa"/>
          <w:right w:w="57" w:type="dxa"/>
        </w:tblCellMar>
      </w:tblPr>
      <w:tblGrid>
        <w:gridCol w:w="3997"/>
        <w:gridCol w:w="2500"/>
        <w:gridCol w:w="2909"/>
      </w:tblGrid>
      <w:tr>
        <w:trPr/>
        <w:tc>
          <w:tcPr>
            <w:tcW w:w="3997"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rStyle w:val="FwK3pod"/>
              </w:rPr>
              <w:t>Résultat budgétaire</w:t>
            </w:r>
          </w:p>
        </w:tc>
        <w:tc>
          <w:tcPr>
            <w:tcW w:w="2500"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Service ordinaire </w:t>
            </w:r>
          </w:p>
        </w:tc>
        <w:tc>
          <w:tcPr>
            <w:tcW w:w="2909"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Service extraordinaire</w:t>
            </w:r>
          </w:p>
        </w:tc>
      </w:tr>
      <w:tr>
        <w:trPr/>
        <w:tc>
          <w:tcPr>
            <w:tcW w:w="3997"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Droits constatés nets de l'exercice</w:t>
            </w:r>
          </w:p>
        </w:tc>
        <w:tc>
          <w:tcPr>
            <w:tcW w:w="2500"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1.055.489,70</w:t>
            </w:r>
          </w:p>
        </w:tc>
        <w:tc>
          <w:tcPr>
            <w:tcW w:w="2909"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62.664,74</w:t>
            </w:r>
          </w:p>
        </w:tc>
      </w:tr>
      <w:tr>
        <w:trPr/>
        <w:tc>
          <w:tcPr>
            <w:tcW w:w="3997"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Imputations de l'exercice </w:t>
            </w:r>
          </w:p>
        </w:tc>
        <w:tc>
          <w:tcPr>
            <w:tcW w:w="2500"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1.011.722,29</w:t>
            </w:r>
          </w:p>
        </w:tc>
        <w:tc>
          <w:tcPr>
            <w:tcW w:w="2909"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26.195,76</w:t>
            </w:r>
          </w:p>
        </w:tc>
      </w:tr>
      <w:tr>
        <w:trPr/>
        <w:tc>
          <w:tcPr>
            <w:tcW w:w="3997"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Excédent/déficit comptable  </w:t>
            </w:r>
          </w:p>
        </w:tc>
        <w:tc>
          <w:tcPr>
            <w:tcW w:w="2500"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43.767,41</w:t>
            </w:r>
          </w:p>
        </w:tc>
        <w:tc>
          <w:tcPr>
            <w:tcW w:w="2909"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36.468,98</w:t>
            </w:r>
          </w:p>
        </w:tc>
      </w:tr>
    </w:tbl>
    <w:p>
      <w:pPr>
        <w:pStyle w:val="Normal"/>
        <w:rPr/>
      </w:pPr>
      <w:r>
        <w:rPr/>
        <w:t> </w:t>
      </w:r>
    </w:p>
    <w:tbl>
      <w:tblPr>
        <w:tblW w:w="5000" w:type="pct"/>
        <w:jc w:val="left"/>
        <w:tblInd w:w="0" w:type="dxa"/>
        <w:tblLayout w:type="fixed"/>
        <w:tblCellMar>
          <w:top w:w="57" w:type="dxa"/>
          <w:left w:w="57" w:type="dxa"/>
          <w:bottom w:w="57" w:type="dxa"/>
          <w:right w:w="57" w:type="dxa"/>
        </w:tblCellMar>
      </w:tblPr>
      <w:tblGrid>
        <w:gridCol w:w="4022"/>
        <w:gridCol w:w="2488"/>
        <w:gridCol w:w="2896"/>
      </w:tblGrid>
      <w:tr>
        <w:trPr/>
        <w:tc>
          <w:tcPr>
            <w:tcW w:w="4022"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rStyle w:val="FwK3pod"/>
              </w:rPr>
              <w:t>Résultat comptable</w:t>
            </w:r>
          </w:p>
        </w:tc>
        <w:tc>
          <w:tcPr>
            <w:tcW w:w="248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Service ordinaire </w:t>
            </w:r>
          </w:p>
        </w:tc>
        <w:tc>
          <w:tcPr>
            <w:tcW w:w="289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Service extraordinaire</w:t>
            </w:r>
          </w:p>
        </w:tc>
      </w:tr>
      <w:tr>
        <w:trPr/>
        <w:tc>
          <w:tcPr>
            <w:tcW w:w="4022"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Droits constatés nets de l'exercice</w:t>
            </w:r>
          </w:p>
        </w:tc>
        <w:tc>
          <w:tcPr>
            <w:tcW w:w="248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1.055.489,70</w:t>
            </w:r>
          </w:p>
        </w:tc>
        <w:tc>
          <w:tcPr>
            <w:tcW w:w="289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62.664,74</w:t>
            </w:r>
          </w:p>
        </w:tc>
      </w:tr>
      <w:tr>
        <w:trPr/>
        <w:tc>
          <w:tcPr>
            <w:tcW w:w="4022"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Imputations de l'exercice </w:t>
            </w:r>
          </w:p>
        </w:tc>
        <w:tc>
          <w:tcPr>
            <w:tcW w:w="248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1.011.722,29</w:t>
            </w:r>
          </w:p>
        </w:tc>
        <w:tc>
          <w:tcPr>
            <w:tcW w:w="289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26.195,76</w:t>
            </w:r>
          </w:p>
        </w:tc>
      </w:tr>
      <w:tr>
        <w:trPr/>
        <w:tc>
          <w:tcPr>
            <w:tcW w:w="4022"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Excédent/déficit comptable  </w:t>
            </w:r>
          </w:p>
        </w:tc>
        <w:tc>
          <w:tcPr>
            <w:tcW w:w="248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43.767,41</w:t>
            </w:r>
          </w:p>
        </w:tc>
        <w:tc>
          <w:tcPr>
            <w:tcW w:w="289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36.468,98</w:t>
            </w:r>
          </w:p>
        </w:tc>
      </w:tr>
    </w:tbl>
    <w:p>
      <w:pPr>
        <w:pStyle w:val="Normal"/>
        <w:rPr/>
      </w:pPr>
      <w:r>
        <w:rPr/>
        <w:t> </w:t>
      </w:r>
    </w:p>
    <w:p>
      <w:pPr>
        <w:pStyle w:val="Normal"/>
        <w:rPr/>
      </w:pPr>
      <w:r>
        <w:rPr>
          <w:rStyle w:val="FwK1pod"/>
        </w:rPr>
        <w:t>Compte de résultats </w:t>
      </w:r>
    </w:p>
    <w:p>
      <w:pPr>
        <w:pStyle w:val="Normal"/>
        <w:rPr/>
      </w:pPr>
      <w:r>
        <w:rPr/>
        <w:t>Produits = 988.210,20</w:t>
      </w:r>
    </w:p>
    <w:p>
      <w:pPr>
        <w:pStyle w:val="Normal"/>
        <w:rPr/>
      </w:pPr>
      <w:r>
        <w:rPr/>
        <w:t>Charges = 972.605,95</w:t>
      </w:r>
    </w:p>
    <w:p>
      <w:pPr>
        <w:pStyle w:val="Normal"/>
        <w:rPr/>
      </w:pPr>
      <w:r>
        <w:rPr/>
        <w:t>Résultat de l'exercice = 15.604,25</w:t>
      </w:r>
    </w:p>
    <w:p>
      <w:pPr>
        <w:pStyle w:val="Normal"/>
        <w:rPr/>
      </w:pPr>
      <w:r>
        <w:rPr/>
        <w:t> </w:t>
      </w:r>
    </w:p>
    <w:p>
      <w:pPr>
        <w:pStyle w:val="Normal"/>
        <w:rPr/>
      </w:pPr>
      <w:r>
        <w:rPr>
          <w:rStyle w:val="FwK1pod"/>
        </w:rPr>
        <w:t>Bilan</w:t>
      </w:r>
    </w:p>
    <w:p>
      <w:pPr>
        <w:pStyle w:val="Normal"/>
        <w:rPr/>
      </w:pPr>
      <w:r>
        <w:rPr/>
        <w:t>Total bilantaire = 1.132.860,63</w:t>
      </w:r>
    </w:p>
    <w:p>
      <w:pPr>
        <w:pStyle w:val="Normal"/>
        <w:rPr/>
      </w:pPr>
      <w:r>
        <w:rPr/>
        <w:t> </w:t>
      </w:r>
    </w:p>
    <w:p>
      <w:pPr>
        <w:pStyle w:val="Normal"/>
        <w:rPr/>
      </w:pPr>
      <w:r>
        <w:rPr>
          <w:rStyle w:val="FwK1pod"/>
        </w:rPr>
        <w:t>Dont résultats cumulés :</w:t>
      </w:r>
    </w:p>
    <w:p>
      <w:pPr>
        <w:pStyle w:val="Normal"/>
        <w:rPr/>
      </w:pPr>
      <w:r>
        <w:rPr/>
        <w:t>- Exercice = 15.604,25</w:t>
      </w:r>
    </w:p>
    <w:p>
      <w:pPr>
        <w:pStyle w:val="Normal"/>
        <w:rPr/>
      </w:pPr>
      <w:r>
        <w:rPr/>
        <w:t>- Exercice précédent = 4.296,21</w:t>
      </w:r>
    </w:p>
    <w:p>
      <w:pPr>
        <w:pStyle w:val="Normal"/>
        <w:rPr/>
      </w:pPr>
      <w:r>
        <w:rPr/>
        <w:t> </w:t>
      </w:r>
    </w:p>
    <w:p>
      <w:pPr>
        <w:pStyle w:val="Normal"/>
        <w:rPr/>
      </w:pPr>
      <w:r>
        <w:rPr>
          <w:rStyle w:val="FwK1pod"/>
        </w:rPr>
        <w:t>Art.2. :</w:t>
      </w:r>
      <w:r>
        <w:rPr/>
        <w:t xml:space="preserve"> De transmettre la présente délibération à Monsieur D'HONDT Ph., Président du Cpas, pour suite voulue.</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N°4 : Administration communale : Compte budgétaire, bilan et compte de résultats de l'exercice 2025; arrêt</w:t>
      </w:r>
    </w:p>
    <w:p>
      <w:pPr>
        <w:pStyle w:val="Normal"/>
        <w:tabs>
          <w:tab w:val="clear" w:pos="709"/>
        </w:tabs>
        <w:spacing w:before="0" w:after="0"/>
        <w:jc w:val="both"/>
        <w:rPr>
          <w:rFonts w:ascii="Calibri" w:hAnsi="Calibri"/>
        </w:rPr>
      </w:pPr>
      <w:r>
        <w:rPr>
          <w:rFonts w:ascii="Calibri" w:hAnsi="Calibri"/>
        </w:rPr>
      </w:r>
    </w:p>
    <w:p>
      <w:pPr>
        <w:pStyle w:val="Normal"/>
        <w:rPr/>
      </w:pPr>
      <w:r>
        <w:rPr>
          <w:rStyle w:val="FwK3pod"/>
        </w:rPr>
        <w:t>Mr Vanhonacker</w:t>
      </w:r>
    </w:p>
    <w:p>
      <w:pPr>
        <w:pStyle w:val="Normal"/>
        <w:rPr/>
      </w:pPr>
      <w:r>
        <w:rPr/>
        <w:t>Je constate que :</w:t>
      </w:r>
    </w:p>
    <w:p>
      <w:pPr>
        <w:pStyle w:val="Normal"/>
        <w:rPr/>
      </w:pPr>
      <w:r>
        <w:rPr/>
        <w:t>1. Les recettes courantes augmentent très peu d’environ 0,72 %. Comment le collège explique-t-il que les recettes courantes restent quasiment stables alors que les coûts de fonctionnement augmentent fortement ?</w:t>
      </w:r>
    </w:p>
    <w:p>
      <w:pPr>
        <w:pStyle w:val="Normal"/>
        <w:rPr/>
      </w:pPr>
      <w:r>
        <w:rPr/>
        <w:t>2. Une forte présence de produits non encaissés pour un montant de 942.106 euros. Près d’un million d’euros de produits sont des écritures non encaissées. Quelle est alors la situation réelle de trésorerie de la commune ? Quelle part du résultat correspond réellement à des recettes disponibles ?</w:t>
      </w:r>
    </w:p>
    <w:p>
      <w:pPr>
        <w:pStyle w:val="Normal"/>
        <w:rPr/>
      </w:pPr>
      <w:r>
        <w:rPr/>
        <w:t>3. Une forte augmentation des prélèvements sur les réserves</w:t>
      </w:r>
    </w:p>
    <w:p>
      <w:pPr>
        <w:pStyle w:val="Normal"/>
        <w:rPr/>
      </w:pPr>
      <w:r>
        <w:rPr/>
        <w:t>2024 : 451.038 €</w:t>
      </w:r>
    </w:p>
    <w:p>
      <w:pPr>
        <w:pStyle w:val="Normal"/>
        <w:rPr/>
      </w:pPr>
      <w:r>
        <w:rPr/>
        <w:t>2025 : 800.102 €</w:t>
      </w:r>
    </w:p>
    <w:p>
      <w:pPr>
        <w:pStyle w:val="Normal"/>
        <w:rPr/>
      </w:pPr>
      <w:r>
        <w:rPr/>
        <w:t>soit près de +77 %</w:t>
      </w:r>
    </w:p>
    <w:p>
      <w:pPr>
        <w:pStyle w:val="Normal"/>
        <w:rPr/>
      </w:pPr>
      <w:r>
        <w:rPr/>
        <w:t>Pourquoi la commune doit-elle prélever plus de 800.000 € sur ses réserves en 2025 ?</w:t>
      </w:r>
    </w:p>
    <w:p>
      <w:pPr>
        <w:pStyle w:val="Normal"/>
        <w:rPr/>
      </w:pPr>
      <w:r>
        <w:rPr/>
        <w:t>4. La hausse des recettes totales provient surtout des réserves. Peut-on réellement parler d’amélioration financière lorsque la hausse des recettes provient principalement des prélèvements sur réserves ?</w:t>
      </w:r>
    </w:p>
    <w:p>
      <w:pPr>
        <w:pStyle w:val="Normal"/>
        <w:rPr/>
      </w:pPr>
      <w:r>
        <w:rPr/>
        <w:t>5. Une Hausse importante du patrimoine immobilier</w:t>
      </w:r>
    </w:p>
    <w:p>
      <w:pPr>
        <w:pStyle w:val="Normal"/>
        <w:rPr/>
      </w:pPr>
      <w:r>
        <w:rPr/>
        <w:t>Le patrimoine immobilier augmente de :</w:t>
      </w:r>
    </w:p>
    <w:p>
      <w:pPr>
        <w:pStyle w:val="PodBulletItem"/>
        <w:numPr>
          <w:ilvl w:val="0"/>
          <w:numId w:val="3"/>
        </w:numPr>
        <w:tabs>
          <w:tab w:val="clear" w:pos="709"/>
          <w:tab w:val="left" w:pos="0" w:leader="none"/>
        </w:tabs>
        <w:ind w:left="922" w:hanging="461"/>
        <w:rPr/>
      </w:pPr>
      <w:r>
        <w:rPr/>
        <w:t>8.847.213 €</w:t>
      </w:r>
    </w:p>
    <w:p>
      <w:pPr>
        <w:pStyle w:val="PodBulletItem"/>
        <w:numPr>
          <w:ilvl w:val="0"/>
          <w:numId w:val="3"/>
        </w:numPr>
        <w:tabs>
          <w:tab w:val="clear" w:pos="709"/>
          <w:tab w:val="left" w:pos="0" w:leader="none"/>
        </w:tabs>
        <w:ind w:left="922" w:hanging="461"/>
        <w:rPr/>
      </w:pPr>
      <w:r>
        <w:rPr/>
        <w:t>à 10.627.411 €</w:t>
      </w:r>
    </w:p>
    <w:p>
      <w:pPr>
        <w:pStyle w:val="Normal"/>
        <w:rPr/>
      </w:pPr>
      <w:r>
        <w:rPr/>
        <w:t>Soit près de : 20 %</w:t>
      </w:r>
    </w:p>
    <w:p>
      <w:pPr>
        <w:pStyle w:val="PodBulletItem"/>
        <w:numPr>
          <w:ilvl w:val="0"/>
          <w:numId w:val="4"/>
        </w:numPr>
        <w:tabs>
          <w:tab w:val="clear" w:pos="709"/>
          <w:tab w:val="left" w:pos="0" w:leader="none"/>
        </w:tabs>
        <w:ind w:left="922" w:hanging="461"/>
        <w:rPr/>
      </w:pPr>
      <w:r>
        <w:rPr/>
        <w:t>Quels biens ont été acquis ou réévalués ?</w:t>
      </w:r>
    </w:p>
    <w:p>
      <w:pPr>
        <w:pStyle w:val="Normal"/>
        <w:rPr/>
      </w:pPr>
      <w:r>
        <w:rPr>
          <w:rStyle w:val="FwK3pod"/>
        </w:rPr>
        <w:t>Mme Verschuere </w:t>
      </w:r>
    </w:p>
    <w:p>
      <w:pPr>
        <w:pStyle w:val="Normal"/>
        <w:rPr/>
      </w:pPr>
      <w:r>
        <w:rPr/>
        <w:t>1. Les raisons de l’évolution des dépenses et des recettes ont été présentées en détail par le receveur et lors de ma présentation. En résumé, l’augmentation des dépenses reste relativement faible (+4%) et se justifie plus par l’impact des frais de personnel (+4%) que par la hausse des frais de fonctionnement (+1%).  Les frais de personnel ont été impactés par l’indexation salariale, la prise en charge d’un agent technique pendant une partie de l’année et la cotisation de responsabilisation. Les coûts de fonctionnement ont été impactés par la hausse des coûts de main d’œuvre et de matériaux liée à la crise économique. Les recettes proviennent  essentiellement du fonds des communes et des recettes fiscales ainsi que,  pour une part nettement inférieure, des subsides reçus de la région wallonne et des intercommunales. A l’échelle communale, nous avons peu de moyens d’influencer les recettes. En 2025, les recettes ont permis d’équilibrer les dépenses sans toucher à la fiscalité.</w:t>
      </w:r>
    </w:p>
    <w:p>
      <w:pPr>
        <w:pStyle w:val="Normal"/>
        <w:rPr/>
      </w:pPr>
      <w:r>
        <w:rPr/>
        <w:t>2. il faut distinguer le résultat comptable de la trésorerie disponible.</w:t>
      </w:r>
    </w:p>
    <w:p>
      <w:pPr>
        <w:pStyle w:val="Normal"/>
        <w:rPr/>
      </w:pPr>
      <w:r>
        <w:rPr/>
        <w:t>Les produits non encaissés correspondent à des droits constatés comptabilisés mais qui n'ont pas encore été effectivement perçus au 31 décembre 2025. Ces montants figurent dans le résultat comptable mais ne sont pas encore disponibles en trésorerie. Il existe donc une différence entre résultat comptable et budgétaire</w:t>
      </w:r>
    </w:p>
    <w:p>
      <w:pPr>
        <w:pStyle w:val="Normal"/>
        <w:rPr/>
      </w:pPr>
      <w:r>
        <w:rPr/>
        <w:t>Le montant de 942.106 € ne signifie pas que cette somme est perdue, mais qu'elle n'était pas encore encaissée à la clôture de l'exercice. Le suivi des montants impayés fait l’objet d’une procédure stricte avec le soutien du receveur régional et d’un huissier.</w:t>
      </w:r>
    </w:p>
    <w:p>
      <w:pPr>
        <w:pStyle w:val="Normal"/>
        <w:rPr/>
      </w:pPr>
      <w:r>
        <w:rPr/>
        <w:t>3. Le résultat comptable comprend les recettes effectivement encaissées et les droits constatés restant à percevoir ;</w:t>
      </w:r>
    </w:p>
    <w:p>
      <w:pPr>
        <w:pStyle w:val="Normal"/>
        <w:rPr/>
      </w:pPr>
      <w:r>
        <w:rPr/>
        <w:t>4 et5. Le prélèvement sur réserves permet de financer certaines dépenses ou investissements à partir de réserves accumulées lors d'exercices antérieurs. Le montant des prélèvements peut varier fortement d’une année à l’autre selon les projets engagés. Le fait de disposer de telles réserves permet de limiter l’importance des emprunts. La constitution et l’utilisation de ces réserves font partie d’une bonne gestion financière communale</w:t>
      </w:r>
    </w:p>
    <w:p>
      <w:pPr>
        <w:pStyle w:val="Normal"/>
        <w:rPr/>
      </w:pPr>
      <w:r>
        <w:rPr>
          <w:rStyle w:val="FwK3pod"/>
        </w:rPr>
        <w:t>Mr le Bourgmestre </w:t>
      </w:r>
    </w:p>
    <w:p>
      <w:pPr>
        <w:pStyle w:val="Normal"/>
        <w:rPr/>
      </w:pPr>
      <w:r>
        <w:rPr/>
        <w:t>L'augmentation du patrimoine est principalement liée à la réfection de la Route d'Anserœul</w:t>
      </w:r>
    </w:p>
    <w:p>
      <w:pPr>
        <w:pStyle w:val="Normal"/>
        <w:rPr/>
      </w:pPr>
      <w:r>
        <w:rPr>
          <w:rStyle w:val="FwK3pod"/>
        </w:rPr>
        <w:t>Mr Vanhonacker</w:t>
      </w:r>
    </w:p>
    <w:p>
      <w:pPr>
        <w:pStyle w:val="Normal"/>
        <w:rPr/>
      </w:pPr>
      <w:r>
        <w:rPr/>
        <w:t>Puisque nous parlons de la Route d'Anseroeul, pourriez-vous m'expliquer pourquoi elle n'est toujours pas mise en service alors qu'il était prévu qu'elle soit ouverte ?</w:t>
      </w:r>
    </w:p>
    <w:p>
      <w:pPr>
        <w:pStyle w:val="Normal"/>
        <w:rPr/>
      </w:pPr>
      <w:r>
        <w:rPr>
          <w:rStyle w:val="FwK3pod"/>
        </w:rPr>
        <w:t>Mr le Bourgmestre </w:t>
      </w:r>
    </w:p>
    <w:p>
      <w:pPr>
        <w:pStyle w:val="Normal"/>
        <w:rPr/>
      </w:pPr>
      <w:r>
        <w:rPr/>
        <w:t>Il existe des défauts de conception dans la route, différents essais ont été réalisées et nous montrent qu'il subsiste des défauts. La réception n'a pas encore été acté et des opérations doivent encore être menées. C'est d'ailleurs pour cela que la route n'a pas encore été totalement réouverture à la circulation. </w:t>
      </w:r>
    </w:p>
    <w:p>
      <w:pPr>
        <w:pStyle w:val="Normal"/>
        <w:rPr/>
      </w:pPr>
      <w:r>
        <w:rPr>
          <w:rStyle w:val="FwK3pod"/>
        </w:rPr>
        <w:t>Mr Vanhonacker</w:t>
      </w:r>
    </w:p>
    <w:p>
      <w:pPr>
        <w:pStyle w:val="Normal"/>
        <w:rPr/>
      </w:pPr>
      <w:r>
        <w:rPr/>
        <w:t>Pour finir monsieur le Président, chers collègues,</w:t>
      </w:r>
    </w:p>
    <w:p>
      <w:pPr>
        <w:pStyle w:val="Normal"/>
        <w:rPr/>
      </w:pPr>
      <w:r>
        <w:rPr/>
        <w:t>L’analyse du budget 2025 met en évidence une situation globalement équilibrée, mais qui reste néanmoins relativement fragile. Les recettes et les dépenses par habitant évoluent de manière parallèle, ce qui conduit à un excédent budgétaire très limité, d’environ 9 euros par habitant. Cela laisse une marge de manœuvre assez réduite pour faire face à d’éventuels imprévus.</w:t>
      </w:r>
    </w:p>
    <w:p>
      <w:pPr>
        <w:pStyle w:val="Normal"/>
        <w:rPr/>
      </w:pPr>
      <w:r>
        <w:rPr/>
        <w:t>Dans ce cadre, deux éléments méritent une attention particulière. Tout d’abord, nous constatons une augmentation significative des dépenses de personnel, de plus de 12 % en un an. Il serait utile d’obtenir des précisions sur les facteurs qui expliquent cette évolution et sur sa soutenabilité à moyen terme. Ensuite, la charge de la dette progresse également de manière notable, de près de 20 % par habitant. Cette tendance mérite un suivi attentif afin de préserver les capacités d’investissement futures de la commune.</w:t>
      </w:r>
    </w:p>
    <w:p>
      <w:pPr>
        <w:pStyle w:val="Normal"/>
        <w:rPr/>
      </w:pPr>
      <w:r>
        <w:rPr/>
        <w:t>Par ailleurs, les variations importantes des investissements d’une année à l’autre soulèvent la question de la continuité et de la cohérence de la planification pluriannuelle. Dans ce contexte, notre groupe souhaite surtout souligner l’importance d’une vision claire et durable : comment le collège entend-il maîtriser l’évolution des coûts tout en garantissant une politique d’investissement stable et lisible sur le long terme ? Je vous remercie.</w:t>
      </w:r>
    </w:p>
    <w:p>
      <w:pPr>
        <w:pStyle w:val="Normal"/>
        <w:rPr/>
      </w:pPr>
      <w:r>
        <w:rPr>
          <w:rStyle w:val="FwK3pod"/>
        </w:rPr>
        <w:t>Mr le Bourgmestre </w:t>
      </w:r>
    </w:p>
    <w:p>
      <w:pPr>
        <w:pStyle w:val="Normal"/>
        <w:rPr/>
      </w:pPr>
      <w:r>
        <w:rPr/>
        <w:t>Vous soulignez la fragilité croissante des finances communales. Sur ce point, je pense que nous pouvons tous être d'accord. Mais il faut aussi avoir l'honnêteté de rappeler d'où vient cette situation. Depuis plusieurs années, les communes sont confrontées à une augmentation constante de leurs charges. Les communes sont aujourd'hui de plus en plus sollicitées et de moins en moins soutenues. À chaque réforme, qu'elle soit fédérale ou régionale, on transfère des responsabilités vers le niveau local sans transférer intégralement les moyens nécessaires pour les assumer. Dans ce contexte, la Commune de Mont-de-l'Enclus continue pourtant à gérer ses finances avec rigueur. Nous n'avons pas attendu que la situation se dégrade pour agir. Nous maîtrisons nos dépenses, nous investissons lorsque cela est nécessaire et nous veillons à préserver l'équilibre budgétaire.</w:t>
      </w:r>
    </w:p>
    <w:p>
      <w:pPr>
        <w:pStyle w:val="Normal"/>
        <w:rPr/>
      </w:pPr>
      <w:r>
        <w:rPr/>
        <w:t>Mais il faut être lucide : aucune gestion, aussi prudente soit-elle, ne pourra compenser indéfiniment les décisions prises au-dessus de nous. Les pouvoirs locaux prennent leurs responsabilités. Ils l'ont toujours fait. Aujourd'hui, il est temps que la Région wallonne et l'État fédéral prennent également les leurs.</w:t>
      </w:r>
    </w:p>
    <w:p>
      <w:pPr>
        <w:pStyle w:val="Normal"/>
        <w:rPr/>
      </w:pPr>
      <w:r>
        <w:rPr/>
        <w:t>On ne peut pas, d'un côté, exiger toujours davantage des communes et, de l'autre, s'étonner que leurs marges financières se réduisent. On ne peut pas demander aux communes rurales de maintenir les services, d'investir, de rénover leurs infrastructures, de répondre aux attentes des citoyens et, simultanément, réduire leur capacité financière.</w:t>
      </w:r>
    </w:p>
    <w:p>
      <w:pPr>
        <w:pStyle w:val="Normal"/>
        <w:rPr/>
      </w:pPr>
      <w:r>
        <w:rPr/>
        <w:t>La véritable question n'est donc pas seulement de savoir comment Mont-de-l'Enclus maîtrise ses coûts. La véritable question est de savoir quand les autorités supérieures cesseront d'étrangler financièrement les communes tout en leur demandant d'assumer toujours plus de missions. Pour notre part, nous continuerons à gérer la commune avec sérieux et prudence. Mais chacun doit prendre sa part de responsabilité.</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Normal"/>
        <w:rPr/>
      </w:pPr>
      <w:r>
        <w:rPr/>
        <w:t>Vu la constitution, notamment les articles 41 et 162;</w:t>
      </w:r>
    </w:p>
    <w:p>
      <w:pPr>
        <w:pStyle w:val="Normal"/>
        <w:rPr/>
      </w:pPr>
      <w:r>
        <w:rPr/>
        <w:t>Vu le Code de la démocratie locale et de la décentralisation et notamment les articles L1122-23, L1122-26, L1122-30 et première partie, livre III;</w:t>
      </w:r>
    </w:p>
    <w:p>
      <w:pPr>
        <w:pStyle w:val="Normal"/>
        <w:rPr/>
      </w:pPr>
      <w:r>
        <w:rPr/>
        <w:t>Vu l'arrêté royal du Gouvernement wallon du 05 juillet 2007 portant le règlement général de la comptabilité communale, en exécution de l'article L1315-1 du CDLD;</w:t>
      </w:r>
    </w:p>
    <w:p>
      <w:pPr>
        <w:pStyle w:val="Normal"/>
        <w:rPr/>
      </w:pPr>
      <w:r>
        <w:rPr/>
        <w:t>Vu le compte budgétaire, le compte de résultat et le bilan;</w:t>
      </w:r>
    </w:p>
    <w:p>
      <w:pPr>
        <w:pStyle w:val="Normal"/>
        <w:rPr/>
      </w:pPr>
      <w:r>
        <w:rPr/>
        <w:t>Attendu que conformément à l’article 74 du règlement général de la comptabilité communale et par après vérification, le collège certifie que tous les actes relevant de sa compétence ont été correctement portés aux comptes;</w:t>
      </w:r>
    </w:p>
    <w:p>
      <w:pPr>
        <w:pStyle w:val="Normal"/>
        <w:rPr/>
      </w:pPr>
      <w:r>
        <w:rPr/>
        <w:t>Attendu que le collège communal veillera au respect des formalités de publication prescrites par l'article L1313-1 du CDLD;</w:t>
      </w:r>
    </w:p>
    <w:p>
      <w:pPr>
        <w:pStyle w:val="Normal"/>
        <w:rPr/>
      </w:pPr>
      <w:r>
        <w:rPr/>
        <w:t>Attendu que le collège communal veillera également, en application de l'article L1122-23 § 2 du CDLD, à la communication des présents comptes, dans les cinq jours de leur adoption, aux organisations syndicales représentatives ainsi qu'à l'organisation sur demande desdites organisations syndicales et avant la transmission des présents comptes aux autorités de tutelle, d'une séance d'information présentant et expliquant les présents comptes;</w:t>
      </w:r>
    </w:p>
    <w:p>
      <w:pPr>
        <w:pStyle w:val="Normal"/>
        <w:rPr/>
      </w:pPr>
      <w:r>
        <w:rPr/>
        <w:t>Considérant les résultats du compte budgétaire de l'exercice 2025 et les documents annexés justifiant les chiffres;</w:t>
      </w:r>
    </w:p>
    <w:p>
      <w:pPr>
        <w:pStyle w:val="Normal"/>
        <w:rPr/>
      </w:pPr>
      <w:r>
        <w:rPr/>
        <w:t>Vu l'avis du Receveur régional;</w:t>
      </w:r>
    </w:p>
    <w:p>
      <w:pPr>
        <w:pStyle w:val="Normal"/>
        <w:rPr/>
      </w:pPr>
      <w:r>
        <w:rPr/>
        <w:t>Après avoir délibéré en séance publique;</w:t>
      </w:r>
    </w:p>
    <w:p>
      <w:pPr>
        <w:pStyle w:val="Normal"/>
        <w:rPr/>
      </w:pPr>
      <w:r>
        <w:rPr/>
        <w:t>DECIDE : par 7 voix POUR et 4 ABSTENTIONS ( Mme Guemjom, Mme Maes, Mr Vanhonacker et Mme Hernould)</w:t>
      </w:r>
    </w:p>
    <w:p>
      <w:pPr>
        <w:pStyle w:val="Normal"/>
        <w:rPr/>
      </w:pPr>
      <w:r>
        <w:rPr>
          <w:rStyle w:val="FwK1pod"/>
        </w:rPr>
        <w:t>Article premier :</w:t>
      </w:r>
      <w:r>
        <w:rPr/>
        <w:t xml:space="preserve"> d'arrêter le bilan de l'exercice 2025, aux chiffres ci-dessous :</w:t>
      </w:r>
    </w:p>
    <w:p>
      <w:pPr>
        <w:pStyle w:val="Normal"/>
        <w:rPr/>
      </w:pPr>
      <w:r>
        <w:rPr>
          <w:rStyle w:val="FwK1pod"/>
        </w:rPr>
        <w:t>BILAN</w:t>
      </w:r>
      <w:r>
        <w:rPr/>
        <w:t>             </w:t>
      </w:r>
      <w:r>
        <w:rPr>
          <w:rStyle w:val="FwK1pod"/>
        </w:rPr>
        <w:t>ACTIF </w:t>
      </w:r>
      <w:r>
        <w:rPr/>
        <w:t xml:space="preserve">                      </w:t>
      </w:r>
      <w:r>
        <w:rPr>
          <w:rStyle w:val="FwK1pod"/>
        </w:rPr>
        <w:t>PASSIF</w:t>
      </w:r>
    </w:p>
    <w:p>
      <w:pPr>
        <w:pStyle w:val="Normal"/>
        <w:rPr/>
      </w:pPr>
      <w:r>
        <w:rPr/>
        <w:t>                  </w:t>
      </w:r>
      <w:r>
        <w:rPr/>
        <w:t>26.446.998,43                26.446.998,43</w:t>
      </w:r>
    </w:p>
    <w:p>
      <w:pPr>
        <w:pStyle w:val="Normal"/>
        <w:rPr/>
      </w:pPr>
      <w:r>
        <w:rPr>
          <w:rStyle w:val="FwK1pod"/>
        </w:rPr>
        <w:t>Art.2. :</w:t>
      </w:r>
      <w:r>
        <w:rPr/>
        <w:t xml:space="preserve"> d'arrêter le compte de résultats de l'exercice 2025, aux chiffres ci-dessous :</w:t>
      </w:r>
    </w:p>
    <w:p>
      <w:pPr>
        <w:pStyle w:val="Normal"/>
        <w:rPr/>
      </w:pPr>
      <w:r>
        <w:rPr>
          <w:rStyle w:val="FwK1pod"/>
        </w:rPr>
        <w:t>Compte de résultats</w:t>
      </w:r>
      <w:r>
        <w:rPr/>
        <w:t>            </w:t>
      </w:r>
      <w:r>
        <w:rPr>
          <w:rStyle w:val="FwK1pod"/>
        </w:rPr>
        <w:t>Charges (C) </w:t>
      </w:r>
      <w:r>
        <w:rPr/>
        <w:t xml:space="preserve">      </w:t>
      </w:r>
      <w:r>
        <w:rPr>
          <w:rStyle w:val="FwK1pod"/>
        </w:rPr>
        <w:t>Produits (P)</w:t>
      </w:r>
      <w:r>
        <w:rPr/>
        <w:t>         </w:t>
      </w:r>
      <w:r>
        <w:rPr>
          <w:rStyle w:val="FwK1pod"/>
        </w:rPr>
        <w:t>Résultat (P-C)</w:t>
      </w:r>
    </w:p>
    <w:p>
      <w:pPr>
        <w:pStyle w:val="Normal"/>
        <w:rPr/>
      </w:pPr>
      <w:r>
        <w:rPr/>
        <w:t>Résultat courant               5.023.104,00      5.224.221,08        201.117,08</w:t>
      </w:r>
    </w:p>
    <w:p>
      <w:pPr>
        <w:pStyle w:val="Normal"/>
        <w:rPr/>
      </w:pPr>
      <w:r>
        <w:rPr/>
        <w:t>Résultat d'exploitation          5.586.998,72      6.166.327,87        579.329,15</w:t>
      </w:r>
    </w:p>
    <w:p>
      <w:pPr>
        <w:pStyle w:val="Normal"/>
        <w:rPr/>
      </w:pPr>
      <w:r>
        <w:rPr/>
        <w:t> </w:t>
      </w:r>
    </w:p>
    <w:p>
      <w:pPr>
        <w:pStyle w:val="Normal"/>
        <w:rPr/>
      </w:pPr>
      <w:r>
        <w:rPr>
          <w:rStyle w:val="FwK1pod"/>
        </w:rPr>
        <w:t>Art.3. :</w:t>
      </w:r>
      <w:r>
        <w:rPr/>
        <w:t xml:space="preserve"> d'arrêter le compte budgétaire de l'exercice 2025 au service ordinaire et au service extraordinaire aux chiffres ci-dessous :</w:t>
      </w:r>
    </w:p>
    <w:tbl>
      <w:tblPr>
        <w:tblW w:w="5000" w:type="pct"/>
        <w:jc w:val="left"/>
        <w:tblInd w:w="0" w:type="dxa"/>
        <w:tblLayout w:type="fixed"/>
        <w:tblCellMar>
          <w:top w:w="57" w:type="dxa"/>
          <w:left w:w="57" w:type="dxa"/>
          <w:bottom w:w="57" w:type="dxa"/>
          <w:right w:w="57" w:type="dxa"/>
        </w:tblCellMar>
      </w:tblPr>
      <w:tblGrid>
        <w:gridCol w:w="658"/>
        <w:gridCol w:w="2145"/>
        <w:gridCol w:w="1145"/>
        <w:gridCol w:w="2428"/>
        <w:gridCol w:w="3030"/>
      </w:tblGrid>
      <w:tr>
        <w:trPr/>
        <w:tc>
          <w:tcPr>
            <w:tcW w:w="65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tc>
        <w:tc>
          <w:tcPr>
            <w:tcW w:w="214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w:t>
            </w:r>
          </w:p>
        </w:tc>
        <w:tc>
          <w:tcPr>
            <w:tcW w:w="242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Service ordinaire</w:t>
            </w:r>
          </w:p>
        </w:tc>
        <w:tc>
          <w:tcPr>
            <w:tcW w:w="3030"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Service extraordinaire</w:t>
            </w:r>
          </w:p>
        </w:tc>
      </w:tr>
      <w:tr>
        <w:trPr/>
        <w:tc>
          <w:tcPr>
            <w:tcW w:w="65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1.</w:t>
            </w:r>
          </w:p>
        </w:tc>
        <w:tc>
          <w:tcPr>
            <w:tcW w:w="214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Droits constatés</w:t>
            </w:r>
          </w:p>
          <w:p>
            <w:pPr>
              <w:pStyle w:val="Tablecell"/>
              <w:rPr/>
            </w:pPr>
            <w:r>
              <w:rPr/>
              <w:t>Non-valeurs et irrécouvrables</w:t>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w:t>
            </w:r>
          </w:p>
        </w:tc>
        <w:tc>
          <w:tcPr>
            <w:tcW w:w="242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6.747.740,75</w:t>
            </w:r>
          </w:p>
          <w:p>
            <w:pPr>
              <w:pStyle w:val="Tablecell"/>
              <w:rPr/>
            </w:pPr>
            <w:r>
              <w:rPr/>
              <w:t>2.800,29</w:t>
            </w:r>
          </w:p>
        </w:tc>
        <w:tc>
          <w:tcPr>
            <w:tcW w:w="3030"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4.529.841,79</w:t>
            </w:r>
          </w:p>
          <w:p>
            <w:pPr>
              <w:pStyle w:val="Tablecell"/>
              <w:rPr/>
            </w:pPr>
            <w:r>
              <w:rPr/>
              <w:t>0,00</w:t>
            </w:r>
          </w:p>
        </w:tc>
      </w:tr>
      <w:tr>
        <w:trPr/>
        <w:tc>
          <w:tcPr>
            <w:tcW w:w="65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tc>
        <w:tc>
          <w:tcPr>
            <w:tcW w:w="214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Droits constatés nets </w:t>
            </w:r>
          </w:p>
          <w:p>
            <w:pPr>
              <w:pStyle w:val="Tablecell"/>
              <w:rPr/>
            </w:pPr>
            <w:r>
              <w:rPr/>
              <w:t>Engagements</w:t>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w:t>
            </w:r>
          </w:p>
        </w:tc>
        <w:tc>
          <w:tcPr>
            <w:tcW w:w="242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6.744.940,46</w:t>
            </w:r>
          </w:p>
          <w:p>
            <w:pPr>
              <w:pStyle w:val="Tablecell"/>
              <w:rPr/>
            </w:pPr>
            <w:r>
              <w:rPr/>
              <w:t> </w:t>
            </w:r>
          </w:p>
          <w:p>
            <w:pPr>
              <w:pStyle w:val="Tablecell"/>
              <w:rPr/>
            </w:pPr>
            <w:r>
              <w:rPr/>
              <w:t>5.703.562,39</w:t>
            </w:r>
          </w:p>
        </w:tc>
        <w:tc>
          <w:tcPr>
            <w:tcW w:w="3030"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4.529.841,79</w:t>
            </w:r>
          </w:p>
          <w:p>
            <w:pPr>
              <w:pStyle w:val="Tablecell"/>
              <w:rPr/>
            </w:pPr>
            <w:r>
              <w:rPr/>
              <w:t> </w:t>
            </w:r>
          </w:p>
          <w:p>
            <w:pPr>
              <w:pStyle w:val="Tablecell"/>
              <w:rPr/>
            </w:pPr>
            <w:r>
              <w:rPr/>
              <w:t>4.230.686,55</w:t>
            </w:r>
          </w:p>
        </w:tc>
      </w:tr>
      <w:tr>
        <w:trPr/>
        <w:tc>
          <w:tcPr>
            <w:tcW w:w="65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tc>
        <w:tc>
          <w:tcPr>
            <w:tcW w:w="214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Résultat budgétaire </w:t>
            </w:r>
          </w:p>
          <w:p>
            <w:pPr>
              <w:pStyle w:val="Tablecell"/>
              <w:rPr/>
            </w:pPr>
            <w:r>
              <w:rPr/>
              <w:t>        </w:t>
            </w:r>
            <w:r>
              <w:rPr/>
              <w:t>Positif :</w:t>
            </w:r>
          </w:p>
          <w:p>
            <w:pPr>
              <w:pStyle w:val="Tablecell"/>
              <w:rPr/>
            </w:pPr>
            <w:r>
              <w:rPr/>
              <w:t>        </w:t>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w:t>
            </w:r>
          </w:p>
        </w:tc>
        <w:tc>
          <w:tcPr>
            <w:tcW w:w="242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1.041.378,07</w:t>
            </w:r>
          </w:p>
        </w:tc>
        <w:tc>
          <w:tcPr>
            <w:tcW w:w="3030"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299.155,24</w:t>
            </w:r>
          </w:p>
        </w:tc>
      </w:tr>
      <w:tr>
        <w:trPr/>
        <w:tc>
          <w:tcPr>
            <w:tcW w:w="65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2.</w:t>
            </w:r>
          </w:p>
        </w:tc>
        <w:tc>
          <w:tcPr>
            <w:tcW w:w="214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Engagements </w:t>
            </w:r>
          </w:p>
          <w:p>
            <w:pPr>
              <w:pStyle w:val="Tablecell"/>
              <w:rPr/>
            </w:pPr>
            <w:r>
              <w:rPr/>
              <w:t>Imputations comptables</w:t>
            </w:r>
          </w:p>
          <w:p>
            <w:pPr>
              <w:pStyle w:val="Tablecell"/>
              <w:rPr/>
            </w:pPr>
            <w:r>
              <w:rPr/>
              <w:t>Engagements à reporter</w:t>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 </w:t>
            </w:r>
            <w:r>
              <w:rPr/>
              <w:t>-</w:t>
            </w:r>
          </w:p>
          <w:p>
            <w:pPr>
              <w:pStyle w:val="Tablecell"/>
              <w:rPr/>
            </w:pPr>
            <w:r>
              <w:rPr/>
              <w:t>=</w:t>
            </w:r>
          </w:p>
        </w:tc>
        <w:tc>
          <w:tcPr>
            <w:tcW w:w="242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 </w:t>
            </w:r>
          </w:p>
          <w:p>
            <w:pPr>
              <w:pStyle w:val="Tablecell"/>
              <w:rPr/>
            </w:pPr>
            <w:r>
              <w:rPr/>
              <w:t>5.703.562,39</w:t>
            </w:r>
          </w:p>
          <w:p>
            <w:pPr>
              <w:pStyle w:val="Tablecell"/>
              <w:rPr/>
            </w:pPr>
            <w:r>
              <w:rPr/>
              <w:t>5.239.196,78</w:t>
            </w:r>
          </w:p>
          <w:p>
            <w:pPr>
              <w:pStyle w:val="Tablecell"/>
              <w:rPr/>
            </w:pPr>
            <w:r>
              <w:rPr/>
              <w:t> </w:t>
            </w:r>
          </w:p>
          <w:p>
            <w:pPr>
              <w:pStyle w:val="Tablecell"/>
              <w:rPr/>
            </w:pPr>
            <w:r>
              <w:rPr/>
              <w:t>464.365,61</w:t>
            </w:r>
          </w:p>
          <w:p>
            <w:pPr>
              <w:pStyle w:val="Tablecell"/>
              <w:rPr/>
            </w:pPr>
            <w:r>
              <w:rPr/>
              <w:t> </w:t>
            </w:r>
          </w:p>
          <w:p>
            <w:pPr>
              <w:pStyle w:val="Tablecell"/>
              <w:rPr/>
            </w:pPr>
            <w:r>
              <w:rPr/>
              <w:t> </w:t>
            </w:r>
          </w:p>
          <w:p>
            <w:pPr>
              <w:pStyle w:val="Tablecell"/>
              <w:rPr/>
            </w:pPr>
            <w:r>
              <w:rPr/>
              <w:t> </w:t>
            </w:r>
          </w:p>
        </w:tc>
        <w:tc>
          <w:tcPr>
            <w:tcW w:w="3030"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4.230.686,55</w:t>
            </w:r>
          </w:p>
          <w:p>
            <w:pPr>
              <w:pStyle w:val="Tablecell"/>
              <w:rPr/>
            </w:pPr>
            <w:r>
              <w:rPr/>
              <w:t>2.332.603,55</w:t>
            </w:r>
          </w:p>
          <w:p>
            <w:pPr>
              <w:pStyle w:val="Tablecell"/>
              <w:rPr/>
            </w:pPr>
            <w:r>
              <w:rPr/>
              <w:t> </w:t>
            </w:r>
          </w:p>
          <w:p>
            <w:pPr>
              <w:pStyle w:val="Tablecell"/>
              <w:rPr/>
            </w:pPr>
            <w:r>
              <w:rPr/>
              <w:t>1.898.083,00</w:t>
            </w:r>
          </w:p>
          <w:p>
            <w:pPr>
              <w:pStyle w:val="Tablecell"/>
              <w:rPr/>
            </w:pPr>
            <w:r>
              <w:rPr/>
              <w:t> </w:t>
            </w:r>
          </w:p>
        </w:tc>
      </w:tr>
      <w:tr>
        <w:trPr/>
        <w:tc>
          <w:tcPr>
            <w:tcW w:w="65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3.</w:t>
            </w:r>
          </w:p>
        </w:tc>
        <w:tc>
          <w:tcPr>
            <w:tcW w:w="214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Droits constatés nets </w:t>
            </w:r>
          </w:p>
          <w:p>
            <w:pPr>
              <w:pStyle w:val="Tablecell"/>
              <w:rPr/>
            </w:pPr>
            <w:r>
              <w:rPr/>
              <w:t>Imputations</w:t>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 </w:t>
            </w:r>
          </w:p>
          <w:p>
            <w:pPr>
              <w:pStyle w:val="Tablecell"/>
              <w:rPr/>
            </w:pPr>
            <w:r>
              <w:rPr/>
              <w:t> </w:t>
            </w:r>
          </w:p>
          <w:p>
            <w:pPr>
              <w:pStyle w:val="Tablecell"/>
              <w:rPr/>
            </w:pPr>
            <w:r>
              <w:rPr/>
              <w:t>-</w:t>
            </w:r>
          </w:p>
        </w:tc>
        <w:tc>
          <w:tcPr>
            <w:tcW w:w="242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6.744.940,46 </w:t>
            </w:r>
          </w:p>
          <w:p>
            <w:pPr>
              <w:pStyle w:val="Tablecell"/>
              <w:rPr/>
            </w:pPr>
            <w:r>
              <w:rPr/>
              <w:t> </w:t>
            </w:r>
          </w:p>
          <w:p>
            <w:pPr>
              <w:pStyle w:val="Tablecell"/>
              <w:rPr/>
            </w:pPr>
            <w:r>
              <w:rPr/>
              <w:t>5.239.196,78</w:t>
            </w:r>
          </w:p>
          <w:p>
            <w:pPr>
              <w:pStyle w:val="Tablecell"/>
              <w:rPr/>
            </w:pPr>
            <w:r>
              <w:rPr/>
              <w:t> </w:t>
            </w:r>
          </w:p>
        </w:tc>
        <w:tc>
          <w:tcPr>
            <w:tcW w:w="3030"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4.529.841,79</w:t>
            </w:r>
          </w:p>
          <w:p>
            <w:pPr>
              <w:pStyle w:val="Tablecell"/>
              <w:rPr/>
            </w:pPr>
            <w:r>
              <w:rPr/>
              <w:t> </w:t>
            </w:r>
          </w:p>
          <w:p>
            <w:pPr>
              <w:pStyle w:val="Tablecell"/>
              <w:rPr/>
            </w:pPr>
            <w:r>
              <w:rPr/>
              <w:t>2.332.603,55</w:t>
            </w:r>
          </w:p>
          <w:p>
            <w:pPr>
              <w:pStyle w:val="Tablecell"/>
              <w:rPr/>
            </w:pPr>
            <w:r>
              <w:rPr/>
              <w:t> </w:t>
            </w:r>
          </w:p>
        </w:tc>
      </w:tr>
      <w:tr>
        <w:trPr/>
        <w:tc>
          <w:tcPr>
            <w:tcW w:w="65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tc>
        <w:tc>
          <w:tcPr>
            <w:tcW w:w="214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Résultat comptable </w:t>
            </w:r>
          </w:p>
          <w:p>
            <w:pPr>
              <w:pStyle w:val="Tablecell"/>
              <w:rPr/>
            </w:pPr>
            <w:r>
              <w:rPr/>
              <w:t>       </w:t>
            </w:r>
            <w:r>
              <w:rPr/>
              <w:t>Positif : </w:t>
            </w:r>
          </w:p>
          <w:p>
            <w:pPr>
              <w:pStyle w:val="Tablecell"/>
              <w:rPr/>
            </w:pPr>
            <w:r>
              <w:rPr/>
              <w:t>  </w:t>
            </w:r>
          </w:p>
          <w:p>
            <w:pPr>
              <w:pStyle w:val="Tablecell"/>
              <w:rPr/>
            </w:pPr>
            <w:r>
              <w:rPr/>
              <w:t>     </w:t>
            </w:r>
          </w:p>
        </w:tc>
        <w:tc>
          <w:tcPr>
            <w:tcW w:w="114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   </w:t>
            </w:r>
            <w:r>
              <w:rPr/>
              <w:t>=             </w:t>
            </w:r>
          </w:p>
        </w:tc>
        <w:tc>
          <w:tcPr>
            <w:tcW w:w="2428"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1.505.743,68</w:t>
            </w:r>
          </w:p>
        </w:tc>
        <w:tc>
          <w:tcPr>
            <w:tcW w:w="3030"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2.197.238,24</w:t>
            </w:r>
          </w:p>
        </w:tc>
      </w:tr>
    </w:tbl>
    <w:p>
      <w:pPr>
        <w:pStyle w:val="Normal"/>
        <w:rPr/>
      </w:pPr>
      <w:r>
        <w:rPr/>
        <w:t> </w:t>
      </w:r>
    </w:p>
    <w:p>
      <w:pPr>
        <w:pStyle w:val="Normal"/>
        <w:rPr/>
      </w:pPr>
      <w:r>
        <w:rPr>
          <w:rStyle w:val="FwK1pod"/>
        </w:rPr>
        <w:t>Art.4 :</w:t>
      </w:r>
      <w:r>
        <w:rPr/>
        <w:t xml:space="preserve"> de transmettre la présente délibération, le compte et ses annexes aux autorités de tutelle, au service des finances et au Receveur régional.</w:t>
      </w:r>
    </w:p>
    <w:p>
      <w:pPr>
        <w:pStyle w:val="Normal"/>
        <w:rPr/>
      </w:pPr>
      <w:r>
        <w:rPr/>
        <w:t> </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N°5 : Compte de la fabrique d'église d'Amougies; Exercice 2025 - Tutelle spéciale d'approbation;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Normal"/>
        <w:rPr/>
      </w:pPr>
      <w:r>
        <w:rPr/>
        <w:t>Vu la Constitution, et notamment les articles 41 et 162;</w:t>
      </w:r>
    </w:p>
    <w:p>
      <w:pPr>
        <w:pStyle w:val="Normal"/>
        <w:rPr/>
      </w:pPr>
      <w:r>
        <w:rPr/>
        <w:t>Vu le décret impérial du 30 décembre 1809 concernant les fabriques d’églises ;</w:t>
      </w:r>
    </w:p>
    <w:p>
      <w:pPr>
        <w:pStyle w:val="Normal"/>
        <w:rPr/>
      </w:pPr>
      <w:r>
        <w:rPr/>
        <w:t>Vu la loi du 04 mars 1870 sur le temporel des cultes, telle que modifiée par le décret du 13 mars 2014, les articles 6 et 7 ;</w:t>
      </w:r>
    </w:p>
    <w:p>
      <w:pPr>
        <w:pStyle w:val="Normal"/>
        <w:rPr/>
      </w:pPr>
      <w:r>
        <w:rPr/>
        <w:t>Vu la loi spéciale de réformes institutionnelles du 08 août 1980, l’article 6,§1er, VIII, 6;</w:t>
      </w:r>
    </w:p>
    <w:p>
      <w:pPr>
        <w:pStyle w:val="Normal"/>
        <w:rPr/>
      </w:pPr>
      <w:r>
        <w:rPr/>
        <w:t>Vu le Code de Démocratie Locale et de la Décentralisation et notamment les articles L1122-20, L1124-40, L 1321-1,9° et L3111-1 à L3162-3;</w:t>
      </w:r>
    </w:p>
    <w:p>
      <w:pPr>
        <w:pStyle w:val="Normal"/>
        <w:rPr/>
      </w:pPr>
      <w:r>
        <w:rPr/>
        <w:t>Vu la circulaire ministérielle du 12 décembre 2014 relative aux pièces justificatives se rattachant aux actes adoptés par les établissements chargés de la gestion du temporel des cultes reconnus ;    </w:t>
      </w:r>
      <w:r>
        <w:rPr>
          <w:rStyle w:val="FwK3pod"/>
        </w:rPr>
        <w:t>         </w:t>
      </w:r>
    </w:p>
    <w:p>
      <w:pPr>
        <w:pStyle w:val="Normal"/>
        <w:rPr/>
      </w:pPr>
      <w:r>
        <w:rPr/>
        <w:t>Vu la délibération du 24 avril 2026 accompagnée de toutes les pièces justificatives suivant la circulaire ministérielle susvisée, reçue en date du 29 avril 2026 par laquelle le Conseil de la fabrique d’église Saint Bavon d'Amougies a décidé d’arrêter le compte de l’exercice 2025 ;</w:t>
      </w:r>
    </w:p>
    <w:p>
      <w:pPr>
        <w:pStyle w:val="Normal"/>
        <w:rPr/>
      </w:pPr>
      <w:r>
        <w:rPr/>
        <w:t>Vu l’envoi simultané de la délibération susvisée, accompagnée de toutes les pièces justificatives renseignées dans la circulaire à l’organe représentatif du culte ;           </w:t>
      </w:r>
    </w:p>
    <w:p>
      <w:pPr>
        <w:pStyle w:val="Normal"/>
        <w:rPr/>
      </w:pPr>
      <w:r>
        <w:rPr/>
        <w:t>Vu la décision réceptionnée en date du 12 mai 2026 du chef diocésain approuvant sans remarque le compte de l’exercice 2025 de la fabrique d’église Saint Bavon d'Amougies endéans le délai de 20 jours lui prescrit pour ce faire, décision réputée favorable;</w:t>
      </w:r>
    </w:p>
    <w:p>
      <w:pPr>
        <w:pStyle w:val="Normal"/>
        <w:rPr/>
      </w:pPr>
      <w:r>
        <w:rPr/>
        <w:t>Considérant que le compte précité a été contrôlé par Mr Coppens Rudy, Receveur Régional, qu'aucune remarque n'a été émise et que ce dernier répond au principe de sincérité budgétaire ; </w:t>
      </w:r>
    </w:p>
    <w:p>
      <w:pPr>
        <w:pStyle w:val="Normal"/>
        <w:rPr/>
      </w:pPr>
      <w:r>
        <w:rPr/>
        <w:t>ARRETE : à l'unanimité</w:t>
      </w:r>
    </w:p>
    <w:p>
      <w:pPr>
        <w:pStyle w:val="Normal"/>
        <w:rPr/>
      </w:pPr>
      <w:r>
        <w:rPr/>
        <w:t> </w:t>
      </w:r>
    </w:p>
    <w:p>
      <w:pPr>
        <w:pStyle w:val="Normal"/>
        <w:rPr/>
      </w:pPr>
      <w:r>
        <w:rPr>
          <w:rStyle w:val="FwK3pod"/>
        </w:rPr>
        <w:t>Article premier :</w:t>
      </w:r>
      <w:r>
        <w:rPr/>
        <w:t xml:space="preserve"> le compte de l’exercice 2025 de la fabrique d’église Saint Bavon d'Amougies, voté en séance du Conseil de la fabrique en date du 24 avril 2026 est approuvé comme suit :   </w:t>
      </w:r>
    </w:p>
    <w:tbl>
      <w:tblPr>
        <w:tblW w:w="5000" w:type="pct"/>
        <w:jc w:val="left"/>
        <w:tblInd w:w="0" w:type="dxa"/>
        <w:tblLayout w:type="fixed"/>
        <w:tblCellMar>
          <w:top w:w="57" w:type="dxa"/>
          <w:left w:w="57" w:type="dxa"/>
          <w:bottom w:w="57" w:type="dxa"/>
          <w:right w:w="57" w:type="dxa"/>
        </w:tblCellMar>
      </w:tblPr>
      <w:tblGrid>
        <w:gridCol w:w="9406"/>
      </w:tblGrid>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r>
              <w:rPr/>
              <w:t>Montants approuvés</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Recettes ordinaires totales                   7.491,90 €</w:t>
            </w:r>
          </w:p>
          <w:p>
            <w:pPr>
              <w:pStyle w:val="Tablecell"/>
              <w:rPr/>
            </w:pPr>
            <w:r>
              <w:rPr/>
              <w:t>dont supplément communal ordinaire           7.159,72 €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Recettes extraordinaires totales               13.392,70 €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Dépenses arrêtées par l’Organe</w:t>
            </w:r>
          </w:p>
          <w:p>
            <w:pPr>
              <w:pStyle w:val="Tablecell"/>
              <w:rPr/>
            </w:pPr>
            <w:r>
              <w:rPr/>
              <w:t>représentatif agréé :                        328,22 €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Dépenses ordinaires :                      10.206,32 €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Dépenses extraordinaires :                   6.353,24 €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Total général des dépenses :                16.887,78 €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Total général des recettes :                 20.884,60 €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Excédent  :                               3.996,82 €</w:t>
            </w:r>
          </w:p>
        </w:tc>
      </w:tr>
    </w:tbl>
    <w:p>
      <w:pPr>
        <w:pStyle w:val="Normal"/>
        <w:rPr/>
      </w:pPr>
      <w:r>
        <w:rPr/>
        <w:t> </w:t>
      </w:r>
    </w:p>
    <w:p>
      <w:pPr>
        <w:pStyle w:val="Normal"/>
        <w:rPr/>
      </w:pPr>
      <w:r>
        <w:rPr>
          <w:rStyle w:val="FwK3pod"/>
        </w:rPr>
        <w:t xml:space="preserve">Article 2 : </w:t>
      </w:r>
      <w:r>
        <w:rPr/>
        <w:t>En application de l’article L3162-3 du Code de la Démocratie locale et de la décentralisation, un recours est ouvert à la fabrique d’Eglise et à l’organe représentatif du culte contre la présente décision devant le Gouverneur de la Province de Hainaut. Ce recours doit être introduit dans les 30 jours de la réception de la présence décision.</w:t>
      </w:r>
    </w:p>
    <w:p>
      <w:pPr>
        <w:pStyle w:val="Normal"/>
        <w:rPr/>
      </w:pPr>
      <w:r>
        <w:rPr>
          <w:rStyle w:val="FwK3pod"/>
        </w:rPr>
        <w:t>Article 3</w:t>
      </w:r>
      <w:r>
        <w:rPr/>
        <w:t> : Un recours en annulation est ouvert aux autres intéressés contre cette décision devant la section du contentieux administratif du Conseil d’Etat.</w:t>
      </w:r>
    </w:p>
    <w:p>
      <w:pPr>
        <w:pStyle w:val="Normal"/>
        <w:rPr/>
      </w:pPr>
      <w:r>
        <w:rPr/>
        <w:t>A cet effet, une requête en annulation datée et signée doit être adressée, par lettre recommandée à la pose, au Conseil d’Etat dans les 60 jours à dater du lendemain de la notification qui leur est faite par la présente ou introduite par voie électronique sur le site internet du Conseil d’Etat ;</w:t>
      </w:r>
    </w:p>
    <w:p>
      <w:pPr>
        <w:pStyle w:val="Normal"/>
        <w:rPr/>
      </w:pPr>
      <w:r>
        <w:rPr>
          <w:rStyle w:val="FwK3pod"/>
        </w:rPr>
        <w:t>Article 4</w:t>
      </w:r>
      <w:r>
        <w:rPr/>
        <w:t> : Conformément à l’article L 3115-2 du Code de la Démocratie Locale et de la Décentralisation, la présente décision est publiée par la voie d’une affiche ;</w:t>
      </w:r>
    </w:p>
    <w:p>
      <w:pPr>
        <w:pStyle w:val="Normal"/>
        <w:rPr/>
      </w:pPr>
      <w:r>
        <w:rPr>
          <w:rStyle w:val="FwK3pod"/>
        </w:rPr>
        <w:t>Article  5</w:t>
      </w:r>
      <w:r>
        <w:rPr/>
        <w:t> : Conformément à l’article L 3115-1 du Code de la Démocratie Locale et de la Décentralisation, la présente décision est notifiée  à :</w:t>
      </w:r>
    </w:p>
    <w:p>
      <w:pPr>
        <w:pStyle w:val="Normal"/>
        <w:rPr/>
      </w:pPr>
      <w:r>
        <w:rPr/>
        <w:t>- Au Conseil de la Fabrique d’Eglise d'Amougies</w:t>
      </w:r>
    </w:p>
    <w:p>
      <w:pPr>
        <w:pStyle w:val="Normal"/>
        <w:rPr/>
      </w:pPr>
      <w:r>
        <w:rPr/>
        <w:t>- A l’organe représentatif de la Fabrique d’Eglise d'Amougies</w:t>
      </w:r>
    </w:p>
    <w:p>
      <w:pPr>
        <w:pStyle w:val="Normal"/>
        <w:rPr/>
      </w:pPr>
      <w:r>
        <w:rPr/>
        <w:t>- Au Receveur Régional</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N°6 : Compte de la fabrique d'église d'Orroir; Exercice 2025 - Tutelle spéciale d'approbation;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Normal"/>
        <w:rPr/>
      </w:pPr>
      <w:r>
        <w:rPr/>
        <w:t>Vu la Constitution, et notamment les articles 41 et 162;</w:t>
      </w:r>
    </w:p>
    <w:p>
      <w:pPr>
        <w:pStyle w:val="Normal"/>
        <w:rPr/>
      </w:pPr>
      <w:r>
        <w:rPr/>
        <w:t>Vu le décret impérial du 30 décembre 1809 concernant les fabriques d’églises ;</w:t>
      </w:r>
    </w:p>
    <w:p>
      <w:pPr>
        <w:pStyle w:val="Normal"/>
        <w:rPr/>
      </w:pPr>
      <w:r>
        <w:rPr/>
        <w:t>Vu la loi du 04 mars 1870 sur le temporel des cultes, telle que modifiée par le décret du 13 mars 2014, les articles 6 et 7 ;</w:t>
      </w:r>
    </w:p>
    <w:p>
      <w:pPr>
        <w:pStyle w:val="Normal"/>
        <w:rPr/>
      </w:pPr>
      <w:r>
        <w:rPr/>
        <w:t>Vu la loi spéciale de réformes institutionnelles du 08 août 1980, l’article 6,§1er, VIII, 6;</w:t>
      </w:r>
    </w:p>
    <w:p>
      <w:pPr>
        <w:pStyle w:val="Normal"/>
        <w:rPr/>
      </w:pPr>
      <w:r>
        <w:rPr/>
        <w:t>Vu le Code de Démocratie Locale et de la Décentralisation et notamment les articles L1122-20, L1124-40, L 1321-1,9° et L3111-1 à L3162-3;</w:t>
      </w:r>
    </w:p>
    <w:p>
      <w:pPr>
        <w:pStyle w:val="Normal"/>
        <w:rPr/>
      </w:pPr>
      <w:r>
        <w:rPr/>
        <w:t>Vu la circulaire ministérielle du 12 décembre 2014 relative aux pièces justificatives se rattachant aux actes adoptés par les établissements chargés de la gestion du temporel des cultes reconnus ;    </w:t>
      </w:r>
      <w:r>
        <w:rPr>
          <w:rStyle w:val="FwK3pod"/>
        </w:rPr>
        <w:t>         </w:t>
      </w:r>
    </w:p>
    <w:p>
      <w:pPr>
        <w:pStyle w:val="Normal"/>
        <w:rPr/>
      </w:pPr>
      <w:r>
        <w:rPr/>
        <w:t>Vu la délibération du 14 avril 2026 accompagnée de toutes les pièces justificatives suivant la circulaire ministérielle susvisée, reçue en date du 24 avril 2026 par laquelle le Conseil de la fabrique d’église Saint Brice de d'Orroir a décidé d’arrêter le compte de l’exercice 2025 ;</w:t>
      </w:r>
    </w:p>
    <w:p>
      <w:pPr>
        <w:pStyle w:val="Normal"/>
        <w:rPr/>
      </w:pPr>
      <w:r>
        <w:rPr/>
        <w:t>Vu l’envoi simultané de la délibération susvisée, accompagnée de toutes les pièces justificatives renseignées dans la circulaire à l’organe représentatif du culte ;           </w:t>
      </w:r>
    </w:p>
    <w:p>
      <w:pPr>
        <w:pStyle w:val="Normal"/>
        <w:rPr/>
      </w:pPr>
      <w:r>
        <w:rPr/>
        <w:t>Vu la décision réceptionnée en date du 30 avril 2026 du chef diocésain approuvant sans remarque le compte de l’exercice 2025 de la fabrique d’église Saint Brice de d'Orroir endéans le délai de 20 jours lui prescrit pour ce faire, décision réputée favorable;</w:t>
      </w:r>
    </w:p>
    <w:p>
      <w:pPr>
        <w:pStyle w:val="Normal"/>
        <w:rPr/>
      </w:pPr>
      <w:r>
        <w:rPr/>
        <w:t>Considérant que le compte précité a été contrôlé par Mr Coppens Rudy, Receveur Régional, qu'aucune remarque n'a été émise et que ce dernier répond au principe de sincérité budgétaire ; </w:t>
      </w:r>
    </w:p>
    <w:p>
      <w:pPr>
        <w:pStyle w:val="Normal"/>
        <w:rPr/>
      </w:pPr>
      <w:r>
        <w:rPr/>
        <w:t>ARRETE : à l'unanimité</w:t>
      </w:r>
    </w:p>
    <w:p>
      <w:pPr>
        <w:pStyle w:val="Normal"/>
        <w:rPr/>
      </w:pPr>
      <w:r>
        <w:rPr/>
        <w:t> </w:t>
      </w:r>
    </w:p>
    <w:p>
      <w:pPr>
        <w:pStyle w:val="Normal"/>
        <w:rPr/>
      </w:pPr>
      <w:r>
        <w:rPr>
          <w:rStyle w:val="FwK3pod"/>
        </w:rPr>
        <w:t>Article premier :</w:t>
      </w:r>
      <w:r>
        <w:rPr/>
        <w:t xml:space="preserve"> le compte de l’exercice 2025 de la fabrique d’église Saint Brice de d'Orroir, voté en séance du Conseil de la fabrique en date du 14 avril 2026 est approuvé comme suit :   </w:t>
      </w:r>
    </w:p>
    <w:tbl>
      <w:tblPr>
        <w:tblW w:w="5000" w:type="pct"/>
        <w:jc w:val="left"/>
        <w:tblInd w:w="0" w:type="dxa"/>
        <w:tblLayout w:type="fixed"/>
        <w:tblCellMar>
          <w:top w:w="57" w:type="dxa"/>
          <w:left w:w="57" w:type="dxa"/>
          <w:bottom w:w="57" w:type="dxa"/>
          <w:right w:w="57" w:type="dxa"/>
        </w:tblCellMar>
      </w:tblPr>
      <w:tblGrid>
        <w:gridCol w:w="9406"/>
      </w:tblGrid>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r>
              <w:rPr/>
              <w:t>Montants approuvés</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Recettes ordinaires totales                  20.387,93 €</w:t>
            </w:r>
          </w:p>
          <w:p>
            <w:pPr>
              <w:pStyle w:val="Tablecell"/>
              <w:rPr/>
            </w:pPr>
            <w:r>
              <w:rPr/>
              <w:t>dont supplément communal ordinaire          19.239,80 €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Recettes extraordinaires totales               0,00 €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Dépenses arrêtées par l’Organe</w:t>
            </w:r>
          </w:p>
          <w:p>
            <w:pPr>
              <w:pStyle w:val="Tablecell"/>
              <w:rPr/>
            </w:pPr>
            <w:r>
              <w:rPr/>
              <w:t>représentatif agréé :                        465,20 €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Dépenses ordinaires :                                           5.750,47 €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Dépenses extraordinaires :                 12.474,43 €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Total général des dépenses :                18.690,10 €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Total général des recettes :                 20.387,93 €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Excédent  :                               1.697,83 €</w:t>
            </w:r>
          </w:p>
        </w:tc>
      </w:tr>
    </w:tbl>
    <w:p>
      <w:pPr>
        <w:pStyle w:val="Normal"/>
        <w:rPr/>
      </w:pPr>
      <w:r>
        <w:rPr/>
        <w:t> </w:t>
      </w:r>
    </w:p>
    <w:p>
      <w:pPr>
        <w:pStyle w:val="Normal"/>
        <w:rPr/>
      </w:pPr>
      <w:r>
        <w:rPr>
          <w:rStyle w:val="FwK3pod"/>
        </w:rPr>
        <w:t xml:space="preserve">Article 2 : </w:t>
      </w:r>
      <w:r>
        <w:rPr/>
        <w:t>En application de l’article L3162-3 du Code de la Démocratie locale et de la décentralisation, un recours est ouvert à la fabrique d’Eglise et à l’organe représentatif du culte contre la présente décision devant le Gouverneur de la Province de Hainaut. Ce recours doit être introduit dans les 30 jours de la réception de la présence décision.</w:t>
      </w:r>
    </w:p>
    <w:p>
      <w:pPr>
        <w:pStyle w:val="Normal"/>
        <w:rPr/>
      </w:pPr>
      <w:r>
        <w:rPr>
          <w:rStyle w:val="FwK3pod"/>
        </w:rPr>
        <w:t>Article 3</w:t>
      </w:r>
      <w:r>
        <w:rPr/>
        <w:t> : Un recours en annulation est ouvert aux autres intéressés contre cette décision devant la section du contentieux administratif du Conseil d’Etat.</w:t>
      </w:r>
    </w:p>
    <w:p>
      <w:pPr>
        <w:pStyle w:val="Normal"/>
        <w:rPr/>
      </w:pPr>
      <w:r>
        <w:rPr/>
        <w:t>A cet effet, une requête en annulation datée et signée doit être adressée, par lettre recommandée à la pose, au Conseil d’Etat dans les 60 jours à dater du lendemain de la notification qui leur est faite par la présente ou introduite par voie électronique sur le site internet du Conseil d’Etat ;</w:t>
      </w:r>
    </w:p>
    <w:p>
      <w:pPr>
        <w:pStyle w:val="Normal"/>
        <w:rPr/>
      </w:pPr>
      <w:r>
        <w:rPr>
          <w:rStyle w:val="FwK3pod"/>
        </w:rPr>
        <w:t>Article 4</w:t>
      </w:r>
      <w:r>
        <w:rPr/>
        <w:t> : Conformément à l’article L 3115-2 du Code de la Démocratie Locale et de la Décentralisation, la présente décision est publiée par la voie d’une affiche ;</w:t>
      </w:r>
    </w:p>
    <w:p>
      <w:pPr>
        <w:pStyle w:val="Normal"/>
        <w:rPr/>
      </w:pPr>
      <w:r>
        <w:rPr>
          <w:rStyle w:val="FwK3pod"/>
        </w:rPr>
        <w:t>Article  5</w:t>
      </w:r>
      <w:r>
        <w:rPr/>
        <w:t> : Conformément à l’article L 3115-1 du Code de la Démocratie Locale et de la Décentralisation, la présente décision est notifiée  à :</w:t>
      </w:r>
    </w:p>
    <w:p>
      <w:pPr>
        <w:pStyle w:val="Normal"/>
        <w:rPr/>
      </w:pPr>
      <w:r>
        <w:rPr/>
        <w:t>- Au Conseil de la Fabrique d’Eglise d'Orroir</w:t>
      </w:r>
    </w:p>
    <w:p>
      <w:pPr>
        <w:pStyle w:val="Normal"/>
        <w:rPr/>
      </w:pPr>
      <w:r>
        <w:rPr/>
        <w:t>- A l’organe représentatif de la Fabrique d’Eglise d'Orroir</w:t>
      </w:r>
    </w:p>
    <w:p>
      <w:pPr>
        <w:pStyle w:val="Normal"/>
        <w:rPr/>
      </w:pPr>
      <w:r>
        <w:rPr/>
        <w:t>- Au Receveur Régional</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N°7 : Assemblée générale IDETA - Jeudi 18 juin 2026 : Ordre du jour; approbation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Normal"/>
        <w:rPr/>
      </w:pPr>
      <w:r>
        <w:rPr/>
        <w:t>Attendu que le Conseil communal est valablement représenté pour délibérer;</w:t>
      </w:r>
    </w:p>
    <w:p>
      <w:pPr>
        <w:pStyle w:val="Normal"/>
        <w:rPr/>
      </w:pPr>
      <w:r>
        <w:rPr/>
        <w:t>Considérant l'affiliation de la commune de Mont de l'Enclus à l'intercommunale IDETA;</w:t>
      </w:r>
    </w:p>
    <w:p>
      <w:pPr>
        <w:pStyle w:val="Normal"/>
        <w:rPr/>
      </w:pPr>
      <w:r>
        <w:rPr/>
        <w:t>Considérant que la commune de Mont de l'Enclus a été convoquée à participer à l'assemblée générale du 18 juin 2026 par mail; </w:t>
      </w:r>
    </w:p>
    <w:p>
      <w:pPr>
        <w:pStyle w:val="Normal"/>
        <w:rPr/>
      </w:pPr>
      <w:r>
        <w:rPr/>
        <w:t>Vu les statuts de l'intercommunale IDETA;</w:t>
      </w:r>
    </w:p>
    <w:p>
      <w:pPr>
        <w:pStyle w:val="Normal"/>
        <w:rPr/>
      </w:pPr>
      <w:r>
        <w:rPr/>
        <w:t>Considérant que la commune de Mont de l'Enclus doit désormais être représentée à l'assemblée générale par 5 délégués;</w:t>
      </w:r>
    </w:p>
    <w:p>
      <w:pPr>
        <w:pStyle w:val="Normal"/>
        <w:rPr/>
      </w:pPr>
      <w:r>
        <w:rPr/>
        <w:t>Qu'il convient donc de définir clairement le mandat qui sera confié à ces délégués , à savoir :</w:t>
      </w:r>
    </w:p>
    <w:p>
      <w:pPr>
        <w:pStyle w:val="Normal"/>
        <w:rPr/>
      </w:pPr>
      <w:r>
        <w:rPr/>
        <w:t>- Mr.BOURDEAUD'HUY JP.</w:t>
      </w:r>
    </w:p>
    <w:p>
      <w:pPr>
        <w:pStyle w:val="Normal"/>
        <w:rPr/>
      </w:pPr>
      <w:r>
        <w:rPr/>
        <w:t>- Mad.DEBRABANDERE J.</w:t>
      </w:r>
    </w:p>
    <w:p>
      <w:pPr>
        <w:pStyle w:val="Normal"/>
        <w:rPr/>
      </w:pPr>
      <w:r>
        <w:rPr/>
        <w:t>- Mr.MORJEAN S.</w:t>
      </w:r>
    </w:p>
    <w:p>
      <w:pPr>
        <w:pStyle w:val="Normal"/>
        <w:rPr/>
      </w:pPr>
      <w:r>
        <w:rPr/>
        <w:t>- Mr.DE FERNE E.</w:t>
      </w:r>
    </w:p>
    <w:p>
      <w:pPr>
        <w:pStyle w:val="Normal"/>
        <w:rPr/>
      </w:pPr>
      <w:r>
        <w:rPr/>
        <w:t>- Mad.GUEMJOM V.</w:t>
      </w:r>
    </w:p>
    <w:p>
      <w:pPr>
        <w:pStyle w:val="Normal"/>
        <w:rPr/>
      </w:pPr>
      <w:r>
        <w:rPr/>
        <w:t>représentants à l'assemblée générale ordinaire d'IDETA le 18 juin 2026;</w:t>
      </w:r>
    </w:p>
    <w:p>
      <w:pPr>
        <w:pStyle w:val="Normal"/>
        <w:rPr/>
      </w:pPr>
      <w:r>
        <w:rPr/>
        <w:t>Que le conseil doit, dès lors, se prononcer sur les points essentiels de l'ordre du jour et pour lesquels il dispose de la documentation requise reçue par voie électronique;</w:t>
      </w:r>
    </w:p>
    <w:p>
      <w:pPr>
        <w:pStyle w:val="Normal"/>
        <w:rPr/>
      </w:pPr>
      <w:r>
        <w:rPr/>
        <w:t>Considérant les points portés à l'ordre du jour de la susdite assemblée, à savoir :</w:t>
      </w:r>
    </w:p>
    <w:p>
      <w:pPr>
        <w:pStyle w:val="Normal"/>
        <w:rPr/>
      </w:pPr>
      <w:r>
        <w:rPr/>
        <w:t>1. Rapport d'activités 2025</w:t>
      </w:r>
    </w:p>
    <w:p>
      <w:pPr>
        <w:pStyle w:val="Normal"/>
        <w:rPr/>
      </w:pPr>
      <w:r>
        <w:rPr/>
        <w:t>2. Approbation des comptes annuels au 31.12.2025</w:t>
      </w:r>
    </w:p>
    <w:p>
      <w:pPr>
        <w:pStyle w:val="Normal"/>
        <w:rPr/>
      </w:pPr>
      <w:r>
        <w:rPr/>
        <w:t>3. Affectation du résultat</w:t>
      </w:r>
    </w:p>
    <w:p>
      <w:pPr>
        <w:pStyle w:val="Normal"/>
        <w:rPr/>
      </w:pPr>
      <w:r>
        <w:rPr/>
        <w:t>4. Rapport du Commissaire-Réviseur</w:t>
      </w:r>
    </w:p>
    <w:p>
      <w:pPr>
        <w:pStyle w:val="Normal"/>
        <w:rPr/>
      </w:pPr>
      <w:r>
        <w:rPr/>
        <w:t>5. Décharge au Commissaire-Réviseur</w:t>
      </w:r>
    </w:p>
    <w:p>
      <w:pPr>
        <w:pStyle w:val="Normal"/>
        <w:rPr/>
      </w:pPr>
      <w:r>
        <w:rPr/>
        <w:t>6. Décharge aux administrateurs</w:t>
      </w:r>
    </w:p>
    <w:p>
      <w:pPr>
        <w:pStyle w:val="Normal"/>
        <w:rPr/>
      </w:pPr>
      <w:r>
        <w:rPr/>
        <w:t>7. Rapport de rémunération du Conseil d'administration de l'intercommunale Ideta (Art.L6421-1 du CDLD)</w:t>
      </w:r>
    </w:p>
    <w:p>
      <w:pPr>
        <w:pStyle w:val="Normal"/>
        <w:rPr/>
      </w:pPr>
      <w:r>
        <w:rPr/>
        <w:t>8. Rapport du Comité de rémunération de l'intercommunale Ideta (Art.L1523-17§2)</w:t>
      </w:r>
    </w:p>
    <w:p>
      <w:pPr>
        <w:pStyle w:val="Normal"/>
        <w:rPr/>
      </w:pPr>
      <w:r>
        <w:rPr/>
        <w:t>9. Rapport spécifique sur les prises de participations CDLD 1512-5</w:t>
      </w:r>
    </w:p>
    <w:p>
      <w:pPr>
        <w:pStyle w:val="Normal"/>
        <w:rPr/>
      </w:pPr>
      <w:r>
        <w:rPr/>
        <w:t>10. Divers</w:t>
      </w:r>
    </w:p>
    <w:p>
      <w:pPr>
        <w:pStyle w:val="Normal"/>
        <w:rPr/>
      </w:pPr>
      <w:r>
        <w:rPr/>
        <w:t>Considérant que la commune de Mont de l'Enclus souhaite jouer pleinement son rôle d'associé dans l'intercommunale;</w:t>
      </w:r>
    </w:p>
    <w:p>
      <w:pPr>
        <w:pStyle w:val="Normal"/>
        <w:rPr/>
      </w:pPr>
      <w:r>
        <w:rPr/>
        <w:t>Que dans cet esprit, il importe que la commune de Mont de l'Enclux exprime sa position à l'égard des points portés à l'ordre du jour de l'assemblée générale;</w:t>
      </w:r>
    </w:p>
    <w:p>
      <w:pPr>
        <w:pStyle w:val="Normal"/>
        <w:rPr/>
      </w:pPr>
      <w:r>
        <w:rPr/>
        <w:t> </w:t>
      </w:r>
    </w:p>
    <w:p>
      <w:pPr>
        <w:pStyle w:val="Normal"/>
        <w:rPr/>
      </w:pPr>
      <w:r>
        <w:rPr/>
        <w:t>DECIDE : à l'unanimité</w:t>
      </w:r>
    </w:p>
    <w:p>
      <w:pPr>
        <w:pStyle w:val="Normal"/>
        <w:rPr/>
      </w:pPr>
      <w:r>
        <w:rPr>
          <w:rStyle w:val="FwK1pod"/>
        </w:rPr>
        <w:t>Article premier :</w:t>
      </w:r>
      <w:r>
        <w:rPr/>
        <w:t xml:space="preserve"> D'approuver, les points ci-dessus inscrits à l'ordre du jour de l'assemblée générale du 18 juin 2026 d'IDETA;</w:t>
      </w:r>
    </w:p>
    <w:p>
      <w:pPr>
        <w:pStyle w:val="Normal"/>
        <w:rPr/>
      </w:pPr>
      <w:r>
        <w:rPr>
          <w:rStyle w:val="FwK1pod"/>
        </w:rPr>
        <w:t xml:space="preserve">Art.2. : </w:t>
      </w:r>
      <w:r>
        <w:rPr/>
        <w:t>De charger le Collège communal de veiller à l'exécution de la présente délibération;</w:t>
      </w:r>
    </w:p>
    <w:p>
      <w:pPr>
        <w:pStyle w:val="Normal"/>
        <w:rPr/>
      </w:pPr>
      <w:r>
        <w:rPr>
          <w:rStyle w:val="FwK1pod"/>
        </w:rPr>
        <w:t xml:space="preserve">Art.3. : </w:t>
      </w:r>
      <w:r>
        <w:rPr/>
        <w:t>La présente délibération contenant le mandat impératif et le vote de la commune de Mont de l'Enclus doit parvenir au Secrétariat d'IDETA à l'adresse suivante : poolassistantesDGSG@ideta.be et/ou copie de la présente délibération sera transmise à l'intercommunale précitée.</w:t>
      </w:r>
    </w:p>
    <w:p>
      <w:pPr>
        <w:pStyle w:val="Normal"/>
        <w:rPr/>
      </w:pPr>
      <w:r>
        <w:rPr/>
        <w:t> </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N°8 : Assemblée générale IPALLE - Jeudi 25 juin 2026 : Ordre du jour; approbation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Normal"/>
        <w:rPr/>
      </w:pPr>
      <w:r>
        <w:rPr/>
        <w:t>Vu l'Arrêté roayl du 17/06/1976 autorisant la constitution de l'intercommunale IPALLE;</w:t>
      </w:r>
    </w:p>
    <w:p>
      <w:pPr>
        <w:pStyle w:val="Normal"/>
        <w:rPr/>
      </w:pPr>
      <w:r>
        <w:rPr/>
        <w:t>Vu l'affiliation de la commune de Mont de l'Enclus à l'intercommunale;</w:t>
      </w:r>
    </w:p>
    <w:p>
      <w:pPr>
        <w:pStyle w:val="Normal"/>
        <w:rPr/>
      </w:pPr>
      <w:r>
        <w:rPr/>
        <w:t>Vu l'article L1523-12 du décret du 19 juillet 2006 modifiant le livre V.de la première partie du code de la démocratie locale et de la décentralisation;</w:t>
      </w:r>
    </w:p>
    <w:p>
      <w:pPr>
        <w:pStyle w:val="Normal"/>
        <w:rPr/>
      </w:pPr>
      <w:r>
        <w:rPr/>
        <w:t>Vu la convocation officielle ayant à l'ordre du jour les points suivants :</w:t>
      </w:r>
    </w:p>
    <w:p>
      <w:pPr>
        <w:pStyle w:val="Normal"/>
        <w:rPr/>
      </w:pPr>
      <w:r>
        <w:rPr/>
        <w:t>1. Approbation du rapport de responsabilité sociétale et environnementale "finances et durabilité" 2025</w:t>
      </w:r>
    </w:p>
    <w:p>
      <w:pPr>
        <w:pStyle w:val="Normal"/>
        <w:rPr/>
      </w:pPr>
      <w:r>
        <w:rPr/>
        <w:t>2. Comptes annuels statutaires au 31 décembre 2025 de la SC Ipalle</w:t>
      </w:r>
    </w:p>
    <w:p>
      <w:pPr>
        <w:pStyle w:val="Normal"/>
        <w:rPr/>
      </w:pPr>
      <w:r>
        <w:rPr/>
        <w:t>2.1. Présentation des comptes annuels par secteur d'activité, des comptes annuels de la SC Ipalle et de l'affectation du résultat</w:t>
      </w:r>
    </w:p>
    <w:p>
      <w:pPr>
        <w:pStyle w:val="Normal"/>
        <w:rPr/>
      </w:pPr>
      <w:r>
        <w:rPr/>
        <w:t>2.2. Rapport du conseil d'administration à l'assemblée générale</w:t>
      </w:r>
    </w:p>
    <w:p>
      <w:pPr>
        <w:pStyle w:val="Normal"/>
        <w:rPr/>
      </w:pPr>
      <w:r>
        <w:rPr/>
        <w:t>2.3. Rapport du commissaire (réviseur d'entreprise)</w:t>
      </w:r>
    </w:p>
    <w:p>
      <w:pPr>
        <w:pStyle w:val="Normal"/>
        <w:rPr/>
      </w:pPr>
      <w:r>
        <w:rPr/>
        <w:t>2.4. Approbation des comptes annuels et de l'affectation du résultat</w:t>
      </w:r>
    </w:p>
    <w:p>
      <w:pPr>
        <w:pStyle w:val="Normal"/>
        <w:rPr/>
      </w:pPr>
      <w:r>
        <w:rPr/>
        <w:t>3. Comptes annuels consolidés au 31 décembre 2025 de la SC Ipalle</w:t>
      </w:r>
    </w:p>
    <w:p>
      <w:pPr>
        <w:pStyle w:val="Normal"/>
        <w:rPr/>
      </w:pPr>
      <w:r>
        <w:rPr/>
        <w:t>3.1. Rapport du conseil d'administration à l'assemblée générale</w:t>
      </w:r>
    </w:p>
    <w:p>
      <w:pPr>
        <w:pStyle w:val="Normal"/>
        <w:rPr/>
      </w:pPr>
      <w:r>
        <w:rPr/>
        <w:t>3.2. Rapport du conseil d'administration à l'assemblée générale</w:t>
      </w:r>
    </w:p>
    <w:p>
      <w:pPr>
        <w:pStyle w:val="Normal"/>
        <w:rPr/>
      </w:pPr>
      <w:r>
        <w:rPr/>
        <w:t>3.3. Rapport du commissaire (réviseur d'entreprises)</w:t>
      </w:r>
    </w:p>
    <w:p>
      <w:pPr>
        <w:pStyle w:val="Normal"/>
        <w:rPr/>
      </w:pPr>
      <w:r>
        <w:rPr/>
        <w:t>4. Décharge aux administrateurs</w:t>
      </w:r>
    </w:p>
    <w:p>
      <w:pPr>
        <w:pStyle w:val="Normal"/>
        <w:rPr/>
      </w:pPr>
      <w:r>
        <w:rPr/>
        <w:t>5. Décharge au commissaire (réviseur d'entreprises) concernant les comptes annuels statutaires et consolidés</w:t>
      </w:r>
    </w:p>
    <w:p>
      <w:pPr>
        <w:pStyle w:val="Normal"/>
        <w:rPr/>
      </w:pPr>
      <w:r>
        <w:rPr/>
        <w:t>6. Rapport de rémunération (art.6421-1 du CDLD)</w:t>
      </w:r>
    </w:p>
    <w:p>
      <w:pPr>
        <w:pStyle w:val="Normal"/>
        <w:rPr/>
      </w:pPr>
      <w:r>
        <w:rPr/>
        <w:t>7. Autres documents requis par le CDLD</w:t>
      </w:r>
    </w:p>
    <w:p>
      <w:pPr>
        <w:pStyle w:val="Normal"/>
        <w:rPr/>
      </w:pPr>
      <w:r>
        <w:rPr/>
        <w:t>8. Confirmation des rémunérations des président et vice-président ainsi que des jetons de présence au sein des instances</w:t>
      </w:r>
    </w:p>
    <w:p>
      <w:pPr>
        <w:pStyle w:val="Normal"/>
        <w:rPr/>
      </w:pPr>
      <w:r>
        <w:rPr/>
        <w:t>9. Remplacement d'administrateur</w:t>
      </w:r>
    </w:p>
    <w:p>
      <w:pPr>
        <w:pStyle w:val="Normal"/>
        <w:rPr/>
      </w:pPr>
      <w:r>
        <w:rPr/>
        <w:t>Vu les documents transmis par l'intercommunale Ipalle, accompagnant l'invitation à cette assemblée;</w:t>
      </w:r>
    </w:p>
    <w:p>
      <w:pPr>
        <w:pStyle w:val="Normal"/>
        <w:rPr/>
      </w:pPr>
      <w:r>
        <w:rPr/>
        <w:t>Sur proposition du Collège communal;</w:t>
      </w:r>
    </w:p>
    <w:p>
      <w:pPr>
        <w:pStyle w:val="Normal"/>
        <w:rPr/>
      </w:pPr>
      <w:r>
        <w:rPr/>
        <w:t> </w:t>
      </w:r>
    </w:p>
    <w:p>
      <w:pPr>
        <w:pStyle w:val="Normal"/>
        <w:rPr/>
      </w:pPr>
      <w:r>
        <w:rPr/>
        <w:t>DECIDE : à l'unanimité</w:t>
      </w:r>
    </w:p>
    <w:p>
      <w:pPr>
        <w:pStyle w:val="Normal"/>
        <w:rPr/>
      </w:pPr>
      <w:r>
        <w:rPr>
          <w:rStyle w:val="FwK1pod"/>
        </w:rPr>
        <w:t>Article premier :</w:t>
      </w:r>
      <w:r>
        <w:rPr/>
        <w:t xml:space="preserve"> D'approuver, les points ci-après inscrits à l'ordre du jour de l'assemblée générale ordinaire du 25 juin 2026 de l'intercommunale Ipalle :</w:t>
      </w:r>
    </w:p>
    <w:p>
      <w:pPr>
        <w:pStyle w:val="Normal"/>
        <w:rPr/>
      </w:pPr>
      <w:r>
        <w:rPr/>
        <w:t>1. Approbation du rapport de responsabilité sociétale et environnementale "finances et durabilité" 2025</w:t>
      </w:r>
    </w:p>
    <w:p>
      <w:pPr>
        <w:pStyle w:val="Normal"/>
        <w:rPr/>
      </w:pPr>
      <w:r>
        <w:rPr/>
        <w:t>2. Comptes annuels statutaires au 31.12.2025 de la SC Ipalle (2.1. à 2.4.)</w:t>
      </w:r>
    </w:p>
    <w:p>
      <w:pPr>
        <w:pStyle w:val="Normal"/>
        <w:rPr/>
      </w:pPr>
      <w:r>
        <w:rPr/>
        <w:t>3. Comptes annuels consolidés au 31.12.2025 de la SC Ipalle (3.1. à 3.3.)</w:t>
      </w:r>
    </w:p>
    <w:p>
      <w:pPr>
        <w:pStyle w:val="Normal"/>
        <w:rPr/>
      </w:pPr>
      <w:r>
        <w:rPr/>
        <w:t>4. Décharge aux administrateurs</w:t>
      </w:r>
    </w:p>
    <w:p>
      <w:pPr>
        <w:pStyle w:val="Normal"/>
        <w:rPr/>
      </w:pPr>
      <w:r>
        <w:rPr/>
        <w:t>5. Décharge au commissaire (Réviseur d'entreprises)</w:t>
      </w:r>
    </w:p>
    <w:p>
      <w:pPr>
        <w:pStyle w:val="Normal"/>
        <w:rPr/>
      </w:pPr>
      <w:r>
        <w:rPr/>
        <w:t>6. Rapport de rémunération (art.6421 - 1 CDLD)</w:t>
      </w:r>
    </w:p>
    <w:p>
      <w:pPr>
        <w:pStyle w:val="Normal"/>
        <w:rPr/>
      </w:pPr>
      <w:r>
        <w:rPr/>
        <w:t>7. Autres documents requis par le CDLD</w:t>
      </w:r>
    </w:p>
    <w:p>
      <w:pPr>
        <w:pStyle w:val="Normal"/>
        <w:rPr/>
      </w:pPr>
      <w:r>
        <w:rPr/>
        <w:t>8. Confirmation des rémunérations des président et vice-président ainsi que des jetons de présence au sein des instances</w:t>
      </w:r>
    </w:p>
    <w:p>
      <w:pPr>
        <w:pStyle w:val="Normal"/>
        <w:rPr/>
      </w:pPr>
      <w:r>
        <w:rPr/>
        <w:t>9. Remplacement d'administrateur</w:t>
      </w:r>
    </w:p>
    <w:p>
      <w:pPr>
        <w:pStyle w:val="Normal"/>
        <w:rPr/>
      </w:pPr>
      <w:r>
        <w:rPr>
          <w:rStyle w:val="FwK1pod"/>
        </w:rPr>
        <w:t>Art.2. :</w:t>
      </w:r>
      <w:r>
        <w:rPr/>
        <w:t xml:space="preserve"> De charger les délégués de la commune de Mont de l'Enclus, à savoir : </w:t>
      </w:r>
    </w:p>
    <w:p>
      <w:pPr>
        <w:pStyle w:val="Normal"/>
        <w:rPr/>
      </w:pPr>
      <w:r>
        <w:rPr/>
        <w:t>- Mr.BOURDEAUD'HUY JP.</w:t>
      </w:r>
    </w:p>
    <w:p>
      <w:pPr>
        <w:pStyle w:val="Normal"/>
        <w:rPr/>
      </w:pPr>
      <w:r>
        <w:rPr/>
        <w:t>- Mad.VERSCHUERE Ch.</w:t>
      </w:r>
    </w:p>
    <w:p>
      <w:pPr>
        <w:pStyle w:val="Normal"/>
        <w:rPr/>
      </w:pPr>
      <w:r>
        <w:rPr/>
        <w:t>- Mad.BOUDRY M.F.</w:t>
      </w:r>
    </w:p>
    <w:p>
      <w:pPr>
        <w:pStyle w:val="Normal"/>
        <w:rPr/>
      </w:pPr>
      <w:r>
        <w:rPr/>
        <w:t>- Mr.PHALEMPIN Ph.</w:t>
      </w:r>
    </w:p>
    <w:p>
      <w:pPr>
        <w:pStyle w:val="Normal"/>
        <w:rPr/>
      </w:pPr>
      <w:r>
        <w:rPr/>
        <w:t>- Mad.MAES M.R.</w:t>
      </w:r>
    </w:p>
    <w:p>
      <w:pPr>
        <w:pStyle w:val="Normal"/>
        <w:rPr/>
      </w:pPr>
      <w:r>
        <w:rPr>
          <w:rStyle w:val="FwK1pod"/>
        </w:rPr>
        <w:t>Art.3. :</w:t>
      </w:r>
      <w:r>
        <w:rPr/>
        <w:t xml:space="preserve"> De charger le Collège communal de veiller à l'exécution de la présente délibération.</w:t>
      </w:r>
    </w:p>
    <w:p>
      <w:pPr>
        <w:pStyle w:val="Normal"/>
        <w:rPr/>
      </w:pPr>
      <w:r>
        <w:rPr>
          <w:rStyle w:val="FwK1pod"/>
        </w:rPr>
        <w:t>Art.4. :</w:t>
      </w:r>
      <w:r>
        <w:rPr/>
        <w:t xml:space="preserve"> De transmettre la présente :</w:t>
      </w:r>
    </w:p>
    <w:p>
      <w:pPr>
        <w:pStyle w:val="Normal"/>
        <w:rPr/>
      </w:pPr>
      <w:r>
        <w:rPr/>
        <w:t>- à Mr.le Gouverneur de la Province de Hainaut</w:t>
      </w:r>
    </w:p>
    <w:p>
      <w:pPr>
        <w:pStyle w:val="Normal"/>
        <w:rPr/>
      </w:pPr>
      <w:r>
        <w:rPr/>
        <w:t>- au Ministre régional ayant la tutelle sur les intercommunales dans ses attributions</w:t>
      </w:r>
    </w:p>
    <w:p>
      <w:pPr>
        <w:pStyle w:val="Normal"/>
        <w:rPr/>
      </w:pPr>
      <w:r>
        <w:rPr/>
        <w:t>- à l'intercommunale Ipalle</w:t>
      </w:r>
    </w:p>
    <w:p>
      <w:pPr>
        <w:pStyle w:val="Normal"/>
        <w:rPr/>
      </w:pPr>
      <w:r>
        <w:rPr/>
        <w:t>- aux représentants de la commune.</w:t>
      </w:r>
    </w:p>
    <w:p>
      <w:pPr>
        <w:pStyle w:val="Normal"/>
        <w:rPr/>
      </w:pPr>
      <w:r>
        <w:rPr/>
        <w:t> </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 xml:space="preserve">OBJET N°9 : Assemblée générale - IGRETEC - le 25 juin 2026 : Ordre du jour; approbation </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FwK4pod"/>
        <w:rPr/>
      </w:pPr>
      <w:r>
        <w:rPr/>
        <w:t>Considérant l’affiliation de la Commune de Mont de l'Enclus à l’Intercommunale IGRETEC ;</w:t>
      </w:r>
    </w:p>
    <w:p>
      <w:pPr>
        <w:pStyle w:val="FwK4pod"/>
        <w:rPr/>
      </w:pPr>
      <w:r>
        <w:rPr/>
        <w:t>Considérant le Code de la Démocratie Locale et de la Décentralisation ;</w:t>
      </w:r>
    </w:p>
    <w:p>
      <w:pPr>
        <w:pStyle w:val="FwK4pod"/>
        <w:rPr/>
      </w:pPr>
      <w:r>
        <w:rPr/>
        <w:t>Considérant que la Commune de Mont de l'Enclus doit désormais être représentée à l’Assemblée générale de l’Intercommunale par 5 délégués, désignés à la proportionnelle, 3 au moins représentant la majorité du Conseil communal ;</w:t>
      </w:r>
    </w:p>
    <w:p>
      <w:pPr>
        <w:pStyle w:val="FwK4pod"/>
        <w:rPr/>
      </w:pPr>
      <w:r>
        <w:rPr/>
        <w:t>Qu'il convient donc de définir clairement le mandat qui sera confié à ces 5 délégués représentant notre Commune à l’Assemblée générale ordinaire de l’IGRETEC du 25 juin 2026 ;</w:t>
      </w:r>
    </w:p>
    <w:p>
      <w:pPr>
        <w:pStyle w:val="FwK4pod"/>
        <w:rPr/>
      </w:pPr>
      <w:r>
        <w:rPr/>
        <w:t>Que le Conseil doit, dès lors, se prononcer sur tous les points de l’ordre du jour et pour lesquels il dispose de la documentation requise ;</w:t>
      </w:r>
    </w:p>
    <w:p>
      <w:pPr>
        <w:pStyle w:val="FwK4pod"/>
        <w:rPr/>
      </w:pPr>
      <w:r>
        <w:rPr/>
        <w:t>Qu’il convient donc de soumettre au suffrage du Conseil tous les points de l’ordre du jour de l’Assemblée générale de l’IGRETEC ;</w:t>
      </w:r>
    </w:p>
    <w:p>
      <w:pPr>
        <w:pStyle w:val="Normal"/>
        <w:rPr/>
      </w:pPr>
      <w:r>
        <w:rPr/>
        <w:t>DECIDE : à l'unanimité</w:t>
      </w:r>
    </w:p>
    <w:p>
      <w:pPr>
        <w:pStyle w:val="Normal"/>
        <w:rPr/>
      </w:pPr>
      <w:r>
        <w:rPr>
          <w:rStyle w:val="FwK1pod"/>
        </w:rPr>
        <w:t>Article premier :</w:t>
      </w:r>
      <w:r>
        <w:rPr/>
        <w:t xml:space="preserve"> D'approuver les points 2 et 3 de l’ordre du jour, à savoir :</w:t>
      </w:r>
    </w:p>
    <w:p>
      <w:pPr>
        <w:pStyle w:val="Normal"/>
        <w:rPr/>
      </w:pPr>
      <w:r>
        <w:rPr/>
        <w:t>Comptes annuels statutaires arrêtés au 31/12/2025 – Comptes annuels consolidés arrêtés au 31/12/2025 - Rapport de gestion du Conseil d’administration - Rapport du Collège des Contrôleurs aux Comptes - Rapport spécifique du Conseil d’Administration sur les prises de participations ; Approbation des comptes annuels statutaires arrêtés au 31/12/2025 </w:t>
      </w:r>
    </w:p>
    <w:p>
      <w:pPr>
        <w:pStyle w:val="Normal"/>
        <w:rPr/>
      </w:pPr>
      <w:r>
        <w:rPr/>
        <w:t>Le point 4 de l’ordre du jour, à savoir :Approbation du rapport du Conseil d’administration au sens de l’article L6421-1 du CDLD</w:t>
      </w:r>
    </w:p>
    <w:p>
      <w:pPr>
        <w:pStyle w:val="Normal"/>
        <w:rPr/>
      </w:pPr>
      <w:r>
        <w:rPr/>
        <w:t>Le point 5 de l’ordre du jour, à savoir : Décharge à donner aux membres du Conseil d’administration pour l’exercice de leur mandat au cours de l’exercice 2025</w:t>
      </w:r>
    </w:p>
    <w:p>
      <w:pPr>
        <w:pStyle w:val="Normal"/>
        <w:rPr/>
      </w:pPr>
      <w:r>
        <w:rPr/>
        <w:t>Le point 6 de l’ordre du jour, à savoir :Décharge à donner aux membres du Collège des Contrôleurs aux Comptes pour l’exercice de leur mandat au cours de l’exercice 2025</w:t>
      </w:r>
    </w:p>
    <w:p>
      <w:pPr>
        <w:pStyle w:val="Normal"/>
        <w:rPr/>
      </w:pPr>
      <w:r>
        <w:rPr/>
        <w:t>Le point 7 de l’ordre du jour, à savoir :Scission de SORESIC </w:t>
      </w:r>
    </w:p>
    <w:p>
      <w:pPr>
        <w:pStyle w:val="Normal"/>
        <w:rPr/>
      </w:pPr>
      <w:r>
        <w:rPr/>
        <w:t>Le point 8 de l’ordre du jour, à savoir :Tarification In House</w:t>
      </w:r>
    </w:p>
    <w:p>
      <w:pPr>
        <w:pStyle w:val="Normal"/>
        <w:rPr/>
      </w:pPr>
      <w:r>
        <w:rPr/>
        <w:t>Le point 9 de l’ordre du jour, à savoir :Modifications statutaires</w:t>
      </w:r>
    </w:p>
    <w:p>
      <w:pPr>
        <w:pStyle w:val="Normal"/>
        <w:rPr/>
      </w:pPr>
      <w:r>
        <w:rPr/>
        <w:t>Art.2. :  De charger ses délégués, à savoir :</w:t>
      </w:r>
    </w:p>
    <w:p>
      <w:pPr>
        <w:pStyle w:val="Normal"/>
        <w:rPr/>
      </w:pPr>
      <w:r>
        <w:rPr/>
        <w:t>- Mad.VERSCHUERE Ch.</w:t>
      </w:r>
    </w:p>
    <w:p>
      <w:pPr>
        <w:pStyle w:val="Normal"/>
        <w:rPr/>
      </w:pPr>
      <w:r>
        <w:rPr/>
        <w:t>- Mad.WEYTSMAN V.</w:t>
      </w:r>
    </w:p>
    <w:p>
      <w:pPr>
        <w:pStyle w:val="Normal"/>
        <w:rPr/>
      </w:pPr>
      <w:r>
        <w:rPr/>
        <w:t>- Mad.DEBRABANDERE J.</w:t>
      </w:r>
    </w:p>
    <w:p>
      <w:pPr>
        <w:pStyle w:val="Normal"/>
        <w:rPr/>
      </w:pPr>
      <w:r>
        <w:rPr/>
        <w:t>- Mr.DE FRENE E.</w:t>
      </w:r>
    </w:p>
    <w:p>
      <w:pPr>
        <w:pStyle w:val="Normal"/>
        <w:rPr/>
      </w:pPr>
      <w:r>
        <w:rPr/>
        <w:t>- Mr.VANHONACKER M. </w:t>
      </w:r>
    </w:p>
    <w:p>
      <w:pPr>
        <w:pStyle w:val="Normal"/>
        <w:rPr/>
      </w:pPr>
      <w:r>
        <w:rPr/>
        <w:t> </w:t>
      </w:r>
    </w:p>
    <w:p>
      <w:pPr>
        <w:pStyle w:val="Normal"/>
        <w:rPr/>
      </w:pPr>
      <w:r>
        <w:rPr/>
        <w:t>à cette Assemblée de se conformer à la volonté exprimée par le Conseil communal en sa séance du 28/05/2026:</w:t>
      </w:r>
    </w:p>
    <w:p>
      <w:pPr>
        <w:pStyle w:val="Normal"/>
        <w:rPr/>
      </w:pPr>
      <w:r>
        <w:rPr/>
        <w:t>Art.3. : De charger le collège communal de veiller à l'exécution de la présente délibération ;</w:t>
      </w:r>
    </w:p>
    <w:p>
      <w:pPr>
        <w:pStyle w:val="Normal"/>
        <w:rPr/>
      </w:pPr>
      <w:r>
        <w:rPr/>
        <w:t>Art.4. : Copie de la présente délibération sera transmise à l’Intercommunale IGRETEC, Boulevard Mayence 1/1 à 6000 CHARLEROI, pour le 23/06/2026 au plus tard (</w:t>
      </w:r>
      <w:hyperlink r:id="rId2">
        <w:r>
          <w:rPr>
            <w:rStyle w:val="InternetLink"/>
          </w:rPr>
          <w:t>isabelle.bayonnet@igretec.com</w:t>
        </w:r>
      </w:hyperlink>
      <w:r>
        <w:rPr/>
        <w:t>)</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N°10 : Assemblée générale Holding communal sa. - le mercredi 24 juin 2026 : Ordre du jour; approbation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FwK4pod"/>
        <w:rPr/>
      </w:pPr>
      <w:r>
        <w:rPr/>
        <w:t>Vu la convocation du 21 mai 2026 à l’Assemblée générale des actionnaires du Holding communal sa. – en liquidation, qui se tiendra le mercredi 24 juin 2026 dans les locaux de VVSG ASBL, Boulevard Bischoddsheim 1-8 à 1000 Bruxelles ;</w:t>
      </w:r>
    </w:p>
    <w:p>
      <w:pPr>
        <w:pStyle w:val="FwK4pod"/>
        <w:rPr/>
      </w:pPr>
      <w:r>
        <w:rPr/>
        <w:t>Vu l’ordre du jour de cette assemblée, qui se présente comme suit :</w:t>
      </w:r>
    </w:p>
    <w:p>
      <w:pPr>
        <w:pStyle w:val="FwK5pod"/>
        <w:numPr>
          <w:ilvl w:val="0"/>
          <w:numId w:val="5"/>
        </w:numPr>
        <w:tabs>
          <w:tab w:val="clear" w:pos="709"/>
          <w:tab w:val="left" w:pos="0" w:leader="none"/>
        </w:tabs>
        <w:ind w:left="922" w:hanging="461"/>
        <w:rPr/>
      </w:pPr>
      <w:r>
        <w:rPr/>
        <w:t> </w:t>
      </w:r>
      <w:r>
        <w:rPr/>
        <w:t>Examen des travaux des liquidateurs pour l’exercice comptable 2025</w:t>
      </w:r>
    </w:p>
    <w:p>
      <w:pPr>
        <w:pStyle w:val="FwK5pod"/>
        <w:numPr>
          <w:ilvl w:val="0"/>
          <w:numId w:val="5"/>
        </w:numPr>
        <w:tabs>
          <w:tab w:val="clear" w:pos="709"/>
          <w:tab w:val="left" w:pos="0" w:leader="none"/>
        </w:tabs>
        <w:ind w:left="922" w:hanging="461"/>
        <w:rPr/>
      </w:pPr>
      <w:r>
        <w:rPr/>
        <w:t>Examen des comptes annuels pour l’exercice comptable 2025 par les liquidateurs</w:t>
      </w:r>
    </w:p>
    <w:p>
      <w:pPr>
        <w:pStyle w:val="FwK5pod"/>
        <w:numPr>
          <w:ilvl w:val="0"/>
          <w:numId w:val="5"/>
        </w:numPr>
        <w:tabs>
          <w:tab w:val="clear" w:pos="709"/>
          <w:tab w:val="left" w:pos="0" w:leader="none"/>
        </w:tabs>
        <w:ind w:left="922" w:hanging="461"/>
        <w:rPr/>
      </w:pPr>
      <w:r>
        <w:rPr/>
        <w:t>Examen du rapport annuel des liquidateurs pour l’exercice comptable 2025, incluant la description de l’état d’avancement de la liquidation et les raisons pour lesquelles cette dernière n’a pas encore pu être clôturé</w:t>
      </w:r>
    </w:p>
    <w:p>
      <w:pPr>
        <w:pStyle w:val="FwK5pod"/>
        <w:numPr>
          <w:ilvl w:val="0"/>
          <w:numId w:val="5"/>
        </w:numPr>
        <w:tabs>
          <w:tab w:val="clear" w:pos="709"/>
          <w:tab w:val="left" w:pos="0" w:leader="none"/>
        </w:tabs>
        <w:ind w:left="922" w:hanging="461"/>
        <w:rPr/>
      </w:pPr>
      <w:r>
        <w:rPr/>
        <w:t>Examen du rapport du Commissaire sur les comptes annuels pour l’exercice comptable 2025</w:t>
      </w:r>
    </w:p>
    <w:p>
      <w:pPr>
        <w:pStyle w:val="FwK5pod"/>
        <w:numPr>
          <w:ilvl w:val="0"/>
          <w:numId w:val="5"/>
        </w:numPr>
        <w:tabs>
          <w:tab w:val="clear" w:pos="709"/>
          <w:tab w:val="left" w:pos="0" w:leader="none"/>
        </w:tabs>
        <w:ind w:left="922" w:hanging="461"/>
        <w:rPr/>
      </w:pPr>
      <w:r>
        <w:rPr/>
        <w:t>Questions</w:t>
      </w:r>
    </w:p>
    <w:p>
      <w:pPr>
        <w:pStyle w:val="FwK4pod"/>
        <w:rPr/>
      </w:pPr>
      <w:r>
        <w:rPr/>
        <w:t>Attendu qu’il y a lieu d’approuver l’ordre du jour précité ;</w:t>
      </w:r>
    </w:p>
    <w:p>
      <w:pPr>
        <w:pStyle w:val="FwK4pod"/>
        <w:rPr/>
      </w:pPr>
      <w:r>
        <w:rPr/>
        <w:t>Vu le Code de la Démocratie Locale et de la Décentralisation ;</w:t>
      </w:r>
    </w:p>
    <w:p>
      <w:pPr>
        <w:pStyle w:val="Normal"/>
        <w:rPr/>
      </w:pPr>
      <w:r>
        <w:rPr/>
        <w:t>DECIDE : à l'unanimité</w:t>
      </w:r>
    </w:p>
    <w:p>
      <w:pPr>
        <w:pStyle w:val="Normal"/>
        <w:rPr/>
      </w:pPr>
      <w:r>
        <w:rPr>
          <w:rStyle w:val="FwK1pod"/>
        </w:rPr>
        <w:t>Article premier :</w:t>
      </w:r>
      <w:r>
        <w:rPr/>
        <w:t> Madame VERSCHUERE Ch. (effectif) et Monsieur BOURDEAUD’HUY JP.,(suppléant) ont été désignés en qualité de représentants en début de législature pour prendre part à tous les votes et délibérations de l’assemblée générale des actionnaires qui se tiendra le mercredi 24 juin 2026 ;</w:t>
      </w:r>
    </w:p>
    <w:p>
      <w:pPr>
        <w:pStyle w:val="Normal"/>
        <w:rPr/>
      </w:pPr>
      <w:r>
        <w:rPr/>
        <w:t>La présente procuration vaut aussi pour toute autre assemblée générale qui sera convoquée avec le même ordre du jour</w:t>
      </w:r>
    </w:p>
    <w:p>
      <w:pPr>
        <w:pStyle w:val="Normal"/>
        <w:rPr/>
      </w:pPr>
      <w:r>
        <w:rPr>
          <w:rStyle w:val="FwK1pod"/>
        </w:rPr>
        <w:t>Art.2 : </w:t>
      </w:r>
      <w:r>
        <w:rPr/>
        <w:t>D’approuver l’ordre du jour précité ;</w:t>
      </w:r>
    </w:p>
    <w:p>
      <w:pPr>
        <w:pStyle w:val="Normal"/>
        <w:rPr/>
      </w:pPr>
      <w:r>
        <w:rPr>
          <w:rStyle w:val="FwK1pod"/>
        </w:rPr>
        <w:t>Art.3. :</w:t>
      </w:r>
      <w:r>
        <w:rPr/>
        <w:t> De transmettre copie de la présente à la Sa.Holding communal, Avenue des Arts 56 BAC – 1000 Bruxelles</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N°11 : Assemblée générale - FARYS cm - le 19 juin 2026 : Ordre du jour; approbation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Normal"/>
        <w:rPr/>
      </w:pPr>
      <w:r>
        <w:rPr/>
        <w:t>Compte tenu que l'Administration communale de Mont de l'Enclus est affilié à FARYS cm;</w:t>
      </w:r>
    </w:p>
    <w:p>
      <w:pPr>
        <w:pStyle w:val="Normal"/>
        <w:rPr/>
      </w:pPr>
      <w:r>
        <w:rPr/>
        <w:t>Compte tenu des statuts de Farys cm;</w:t>
      </w:r>
    </w:p>
    <w:p>
      <w:pPr>
        <w:pStyle w:val="Normal"/>
        <w:rPr/>
      </w:pPr>
      <w:r>
        <w:rPr/>
        <w:t>Compte tenu de l'avis de convocation à l'assemblée générale de Farys cm du 19 juin 2026, dans lequel l'ordre du jour a été communiqué;</w:t>
      </w:r>
    </w:p>
    <w:p>
      <w:pPr>
        <w:pStyle w:val="Normal"/>
        <w:rPr/>
      </w:pPr>
      <w:r>
        <w:rPr/>
        <w:t>Compte tenu des dispositions du Décret sur l'administration locale;</w:t>
      </w:r>
    </w:p>
    <w:p>
      <w:pPr>
        <w:pStyle w:val="Normal"/>
        <w:rPr/>
      </w:pPr>
      <w:r>
        <w:rPr/>
        <w:t> </w:t>
      </w:r>
    </w:p>
    <w:p>
      <w:pPr>
        <w:pStyle w:val="Normal"/>
        <w:rPr/>
      </w:pPr>
      <w:r>
        <w:rPr/>
        <w:t>DECIDE : à l'unanimité</w:t>
      </w:r>
    </w:p>
    <w:p>
      <w:pPr>
        <w:pStyle w:val="Normal"/>
        <w:rPr/>
      </w:pPr>
      <w:r>
        <w:rPr>
          <w:rStyle w:val="FwK1pod"/>
        </w:rPr>
        <w:t>Article premier :</w:t>
      </w:r>
      <w:r>
        <w:rPr/>
        <w:t xml:space="preserve"> Le conseil communal décide d'approuver tous les points à l'ordre du jour de l'assemblée générale annuelle de Farys cm du 19 juin 2026 et la documentation y afférente nécessaire pour l'examen des points de l'ordre du jour :</w:t>
      </w:r>
    </w:p>
    <w:p>
      <w:pPr>
        <w:pStyle w:val="Normal"/>
        <w:rPr/>
      </w:pPr>
      <w:r>
        <w:rPr/>
        <w:t>1. Modification des participants et/ou du capital</w:t>
      </w:r>
    </w:p>
    <w:p>
      <w:pPr>
        <w:pStyle w:val="Normal"/>
        <w:rPr/>
      </w:pPr>
      <w:r>
        <w:rPr/>
        <w:t>2. Modification des annexes 1 et 2 des statuts suite à des changements des participants et/ou de capital</w:t>
      </w:r>
    </w:p>
    <w:p>
      <w:pPr>
        <w:pStyle w:val="Normal"/>
        <w:rPr/>
      </w:pPr>
      <w:r>
        <w:rPr/>
        <w:t>3. Rapport du Conseil d'administration sur l'exercice 2025</w:t>
      </w:r>
    </w:p>
    <w:p>
      <w:pPr>
        <w:pStyle w:val="Normal"/>
        <w:rPr/>
      </w:pPr>
      <w:r>
        <w:rPr/>
        <w:t>4. Rapports du commissaire</w:t>
      </w:r>
    </w:p>
    <w:p>
      <w:pPr>
        <w:pStyle w:val="Normal"/>
        <w:rPr/>
      </w:pPr>
      <w:r>
        <w:rPr/>
        <w:t>5.a. Approbation des comptes financiers statutaires pour l'exercice 2025 clôturé le 31 décembre 2025</w:t>
      </w:r>
    </w:p>
    <w:p>
      <w:pPr>
        <w:pStyle w:val="Normal"/>
        <w:rPr/>
      </w:pPr>
      <w:r>
        <w:rPr/>
        <w:t>  </w:t>
      </w:r>
      <w:r>
        <w:rPr/>
        <w:t>b. Approbation des comptes annuels consolidés de l'exercice 2025 clôturés au 31 décembre 2025 </w:t>
      </w:r>
    </w:p>
    <w:p>
      <w:pPr>
        <w:pStyle w:val="Normal"/>
        <w:rPr/>
      </w:pPr>
      <w:r>
        <w:rPr/>
        <w:t>6. Décharge des administrateurs et du commissaire</w:t>
      </w:r>
    </w:p>
    <w:p>
      <w:pPr>
        <w:pStyle w:val="Normal"/>
        <w:rPr/>
      </w:pPr>
      <w:r>
        <w:rPr/>
        <w:t>7. Actualisation du jeton de présence</w:t>
      </w:r>
    </w:p>
    <w:p>
      <w:pPr>
        <w:pStyle w:val="Normal"/>
        <w:rPr/>
      </w:pPr>
      <w:r>
        <w:rPr/>
        <w:t>8. Nominations statutaires</w:t>
      </w:r>
    </w:p>
    <w:p>
      <w:pPr>
        <w:pStyle w:val="Normal"/>
        <w:rPr/>
      </w:pPr>
      <w:r>
        <w:rPr/>
        <w:t>9. Divers</w:t>
      </w:r>
    </w:p>
    <w:p>
      <w:pPr>
        <w:pStyle w:val="Normal"/>
        <w:rPr/>
      </w:pPr>
      <w:r>
        <w:rPr>
          <w:rStyle w:val="FwK1pod"/>
        </w:rPr>
        <w:t>Art.2. :</w:t>
      </w:r>
      <w:r>
        <w:rPr/>
        <w:t> Le conseil communal charge les représentants, à savoir : </w:t>
      </w:r>
    </w:p>
    <w:p>
      <w:pPr>
        <w:pStyle w:val="Normal"/>
        <w:rPr/>
      </w:pPr>
      <w:r>
        <w:rPr/>
        <w:t>- Mad.DEBRABANDERE J. </w:t>
      </w:r>
    </w:p>
    <w:p>
      <w:pPr>
        <w:pStyle w:val="Normal"/>
        <w:rPr/>
      </w:pPr>
      <w:r>
        <w:rPr/>
        <w:t>- Mr.MORJEAN S.</w:t>
      </w:r>
    </w:p>
    <w:p>
      <w:pPr>
        <w:pStyle w:val="Normal"/>
        <w:rPr/>
      </w:pPr>
      <w:r>
        <w:rPr/>
        <w:t>d'approuver, au nom du Conseil d'administration, tous les actes et documents relatifs à l'assemblée générale de Farys cm adoptés le 19 juin 2026 et d'aligner leur vote sur la position définie dans la décision du conseil communal d'aujourd'hui concernant les points repris à l'ordre du jour de ladite assemblée;</w:t>
      </w:r>
    </w:p>
    <w:p>
      <w:pPr>
        <w:pStyle w:val="Normal"/>
        <w:rPr/>
      </w:pPr>
      <w:r>
        <w:rPr>
          <w:rStyle w:val="FwK1pod"/>
        </w:rPr>
        <w:t>Art.3. :</w:t>
      </w:r>
      <w:r>
        <w:rPr/>
        <w:t xml:space="preserve"> Une copie de cette décision sera envoyée :</w:t>
      </w:r>
    </w:p>
    <w:p>
      <w:pPr>
        <w:pStyle w:val="Normal"/>
        <w:rPr/>
      </w:pPr>
      <w:r>
        <w:rPr/>
        <w:t>- de préférence par e-mail à l'adresse email avfarys@farys.be</w:t>
      </w:r>
    </w:p>
    <w:p>
      <w:pPr>
        <w:pStyle w:val="Normal"/>
        <w:rPr/>
      </w:pPr>
      <w:r>
        <w:rPr/>
        <w:t>- soit par la poste à Farys cm - Service de gestion intercommunales - Stropstraat n°1 - 9000 Gand.</w:t>
      </w:r>
    </w:p>
    <w:p>
      <w:pPr>
        <w:pStyle w:val="Normal"/>
        <w:rPr/>
      </w:pPr>
      <w:r>
        <w:rPr/>
        <w:t> </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 xml:space="preserve">OBJET N°12 : Assemblée générale - FARYS cm : confirmation de la désignation d'un représentant et d'un suppléant </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 xml:space="preserve">LE CONSEIL COMMUNAL, </w:t>
      </w:r>
      <w:r>
        <w:rPr>
          <w:rFonts w:ascii="Calibri" w:hAnsi="Calibri"/>
          <w:caps w:val="false"/>
          <w:smallCaps w:val="false"/>
        </w:rPr>
        <w:t>réuni en séance publique,</w:t>
      </w:r>
    </w:p>
    <w:p>
      <w:pPr>
        <w:pStyle w:val="Normal"/>
        <w:tabs>
          <w:tab w:val="clear" w:pos="709"/>
        </w:tabs>
        <w:spacing w:before="0" w:after="0"/>
        <w:jc w:val="both"/>
        <w:rPr>
          <w:rFonts w:ascii="Calibri" w:hAnsi="Calibri"/>
        </w:rPr>
      </w:pPr>
      <w:r>
        <w:rPr>
          <w:rFonts w:ascii="Calibri" w:hAnsi="Calibri"/>
        </w:rPr>
      </w:r>
    </w:p>
    <w:p>
      <w:pPr>
        <w:pStyle w:val="Normal"/>
        <w:rPr/>
      </w:pPr>
      <w:r>
        <w:rPr/>
        <w:t>Compte tenu que la commune de Mont de l'Enclus est affiliée à FARYS cm;</w:t>
      </w:r>
    </w:p>
    <w:p>
      <w:pPr>
        <w:pStyle w:val="Normal"/>
        <w:rPr/>
      </w:pPr>
      <w:r>
        <w:rPr/>
        <w:t>Compte tenu des statuts de FARYS cm;</w:t>
      </w:r>
    </w:p>
    <w:p>
      <w:pPr>
        <w:pStyle w:val="Normal"/>
        <w:rPr/>
      </w:pPr>
      <w:r>
        <w:rPr/>
        <w:t>Compte tenu de l'avis de convocation à l'assemblée générale de FARYS cm du 19 juin 2026, dans lequel l'ordre du jour a été communiqué;</w:t>
      </w:r>
    </w:p>
    <w:p>
      <w:pPr>
        <w:pStyle w:val="Normal"/>
        <w:rPr/>
      </w:pPr>
      <w:r>
        <w:rPr/>
        <w:t>Compte tenu des dispositions du décret sur l'administration locale;</w:t>
      </w:r>
    </w:p>
    <w:p>
      <w:pPr>
        <w:pStyle w:val="Normal"/>
        <w:rPr/>
      </w:pPr>
      <w:r>
        <w:rPr/>
        <w:t>Compte tenu du résultat du vote secret tenu conformément à l'article 34 du Décret sur l'administration locale;</w:t>
      </w:r>
    </w:p>
    <w:p>
      <w:pPr>
        <w:pStyle w:val="Normal"/>
        <w:rPr/>
      </w:pPr>
      <w:r>
        <w:rPr/>
        <w:t> </w:t>
      </w:r>
    </w:p>
    <w:p>
      <w:pPr>
        <w:pStyle w:val="Normal"/>
        <w:rPr/>
      </w:pPr>
      <w:r>
        <w:rPr/>
        <w:t>DECIDE : à l'unanimité</w:t>
      </w:r>
    </w:p>
    <w:p>
      <w:pPr>
        <w:pStyle w:val="Normal"/>
        <w:rPr/>
      </w:pPr>
      <w:r>
        <w:rPr>
          <w:rStyle w:val="FwK1pod"/>
        </w:rPr>
        <w:t>Article premier :</w:t>
      </w:r>
      <w:r>
        <w:rPr/>
        <w:t> </w:t>
      </w:r>
    </w:p>
    <w:p>
      <w:pPr>
        <w:pStyle w:val="Normal"/>
        <w:rPr/>
      </w:pPr>
      <w:r>
        <w:rPr/>
        <w:t>Madame DEBRABANDERE Josephine, Conseillère communale a été désignée en début de législation pour représenter le conseil communal aux assemblées générales de FARYS cm et est autorisée, au nom du conseil communal, à participer à toutes les délibérations et à tous les votes, à signer tous les procès-verbaux, la liste de présence et autres documents, et, en régle général, à faire tout ce qui est nécessaire pour défendre les intérêts du conseil communal lors de ces réunions.</w:t>
      </w:r>
    </w:p>
    <w:p>
      <w:pPr>
        <w:pStyle w:val="Normal"/>
        <w:rPr/>
      </w:pPr>
      <w:r>
        <w:rPr>
          <w:rStyle w:val="FwK1pod"/>
        </w:rPr>
        <w:t>Art.2. : </w:t>
      </w:r>
    </w:p>
    <w:p>
      <w:pPr>
        <w:pStyle w:val="Normal"/>
        <w:rPr/>
      </w:pPr>
      <w:r>
        <w:rPr/>
        <w:t>Monsieur MORJEAN Stefaan, Conseiller communal a été désigné en début de législation en qualité de suppléant.</w:t>
      </w:r>
    </w:p>
    <w:p>
      <w:pPr>
        <w:pStyle w:val="Normal"/>
        <w:rPr/>
      </w:pPr>
      <w:r>
        <w:rPr>
          <w:rStyle w:val="FwK1pod"/>
        </w:rPr>
        <w:t>Art.3. :</w:t>
      </w:r>
    </w:p>
    <w:p>
      <w:pPr>
        <w:pStyle w:val="Normal"/>
        <w:rPr/>
      </w:pPr>
      <w:r>
        <w:rPr/>
        <w:t>Si le conseil communal ne révoque pas cette décision, elle demeure valable jusqu'au prochain renouvellement du conseil communal.</w:t>
      </w:r>
    </w:p>
    <w:p>
      <w:pPr>
        <w:pStyle w:val="Normal"/>
        <w:rPr/>
      </w:pPr>
      <w:r>
        <w:rPr>
          <w:rStyle w:val="FwK1pod"/>
        </w:rPr>
        <w:t>Art.4. :</w:t>
      </w:r>
    </w:p>
    <w:p>
      <w:pPr>
        <w:pStyle w:val="Normal"/>
        <w:rPr/>
      </w:pPr>
      <w:r>
        <w:rPr/>
        <w:t>Une copie de cette décision sera fournie :</w:t>
      </w:r>
    </w:p>
    <w:p>
      <w:pPr>
        <w:pStyle w:val="Normal"/>
        <w:rPr/>
      </w:pPr>
      <w:r>
        <w:rPr/>
        <w:t>- de préférence par e-mail à l'adresse email avfarys@farys.be</w:t>
      </w:r>
    </w:p>
    <w:p>
      <w:pPr>
        <w:pStyle w:val="Normal"/>
        <w:rPr/>
      </w:pPr>
      <w:r>
        <w:rPr/>
        <w:t>- soit par la poste à Farys cm - Service de gestion intercommunale - Stropstraat n°1 - 9000 Gand, les coordonnées personnelles doivent également être envoyées afin que FARYS cm puisse contacter le représentant/suppléant dans le cadre de ce mandat.</w:t>
      </w:r>
    </w:p>
    <w:p>
      <w:pPr>
        <w:pStyle w:val="Normal"/>
        <w:rPr/>
      </w:pPr>
      <w:r>
        <w:rPr/>
        <w:t> </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jc w:val="both"/>
        <w:rPr>
          <w:rFonts w:ascii="Calibri" w:hAnsi="Calibri"/>
          <w:b/>
          <w:b/>
          <w:bCs/>
          <w:u w:val="single"/>
        </w:rPr>
      </w:pPr>
      <w:r>
        <w:rPr>
          <w:rFonts w:ascii="Calibri" w:hAnsi="Calibri"/>
          <w:b/>
          <w:bCs/>
          <w:u w:val="single"/>
        </w:rPr>
        <w:t>SEANCES A HUIS CLOS</w:t>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rPr>
      </w:pPr>
      <w:r>
        <w:rPr>
          <w:rFonts w:ascii="Calibri" w:hAnsi="Calibri"/>
          <w:b/>
          <w:bCs/>
        </w:rPr>
        <w:t>OBJET N°13 : Huis-clos - Rapport personnel communal ; prise d'acte</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prend acte du rapport établi concernant le personnel communal pour la période du 13/12/2025 au 01/06/2026</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rPr>
          <w:rFonts w:ascii="Calibri" w:hAnsi="Calibri"/>
        </w:rPr>
      </w:pPr>
      <w:r>
        <w:rPr>
          <w:rFonts w:ascii="Calibri" w:hAnsi="Calibri"/>
        </w:rPr>
      </w:r>
    </w:p>
    <w:tbl>
      <w:tblPr>
        <w:tblW w:w="5000" w:type="pct"/>
        <w:jc w:val="right"/>
        <w:tblInd w:w="0" w:type="dxa"/>
        <w:tblLayout w:type="fixed"/>
        <w:tblCellMar>
          <w:top w:w="55" w:type="dxa"/>
          <w:left w:w="55" w:type="dxa"/>
          <w:bottom w:w="55" w:type="dxa"/>
          <w:right w:w="55" w:type="dxa"/>
        </w:tblCellMar>
      </w:tblPr>
      <w:tblGrid>
        <w:gridCol w:w="4699"/>
        <w:gridCol w:w="4707"/>
      </w:tblGrid>
      <w:tr>
        <w:trPr/>
        <w:tc>
          <w:tcPr>
            <w:tcW w:w="9406" w:type="dxa"/>
            <w:gridSpan w:val="2"/>
            <w:tcBorders/>
          </w:tcPr>
          <w:p>
            <w:pPr>
              <w:pStyle w:val="Standard2"/>
              <w:keepNext w:val="true"/>
              <w:rPr>
                <w:rFonts w:ascii="Calibri" w:hAnsi="Calibri"/>
                <w:b/>
                <w:b/>
                <w:bCs/>
                <w:sz w:val="4"/>
                <w:szCs w:val="4"/>
              </w:rPr>
            </w:pPr>
            <w:r>
              <w:rPr>
                <w:rFonts w:ascii="Calibri" w:hAnsi="Calibri"/>
                <w:b/>
                <w:bCs/>
                <w:sz w:val="4"/>
                <w:szCs w:val="4"/>
              </w:rPr>
            </w:r>
          </w:p>
        </w:tc>
      </w:tr>
      <w:tr>
        <w:trPr/>
        <w:tc>
          <w:tcPr>
            <w:tcW w:w="4699" w:type="dxa"/>
            <w:tcBorders/>
          </w:tcPr>
          <w:p>
            <w:pPr>
              <w:pStyle w:val="Standard2"/>
              <w:keepNext w:val="true"/>
              <w:rPr>
                <w:rFonts w:ascii="Calibri" w:hAnsi="Calibri"/>
                <w:b/>
                <w:b/>
                <w:bCs/>
              </w:rPr>
            </w:pPr>
            <w:r>
              <w:rPr>
                <w:rFonts w:ascii="Calibri" w:hAnsi="Calibri"/>
                <w:b/>
                <w:bCs/>
              </w:rPr>
              <w:t>La Directrice générale,</w:t>
            </w:r>
          </w:p>
        </w:tc>
        <w:tc>
          <w:tcPr>
            <w:tcW w:w="4707" w:type="dxa"/>
            <w:tcBorders/>
          </w:tcPr>
          <w:p>
            <w:pPr>
              <w:pStyle w:val="Standard2"/>
              <w:jc w:val="right"/>
              <w:rPr>
                <w:rFonts w:ascii="Calibri" w:hAnsi="Calibri"/>
                <w:b/>
                <w:b/>
                <w:bCs/>
              </w:rPr>
            </w:pPr>
            <w:r>
              <w:rPr>
                <w:rFonts w:ascii="Calibri" w:hAnsi="Calibri"/>
                <w:b/>
                <w:bCs/>
              </w:rPr>
              <w:t>Le Bourgmestre - Président,</w:t>
            </w:r>
          </w:p>
        </w:tc>
      </w:tr>
      <w:tr>
        <w:trPr/>
        <w:tc>
          <w:tcPr>
            <w:tcW w:w="4699" w:type="dxa"/>
            <w:tcBorders/>
          </w:tcPr>
          <w:p>
            <w:pPr>
              <w:pStyle w:val="Standard2"/>
              <w:rPr>
                <w:rFonts w:ascii="Calibri" w:hAnsi="Calibri"/>
                <w:b/>
                <w:b/>
                <w:bCs/>
              </w:rPr>
            </w:pPr>
            <w:r>
              <w:rPr>
                <w:rFonts w:ascii="Calibri" w:hAnsi="Calibri"/>
                <w:b/>
                <w:bCs/>
              </w:rPr>
              <w:t>(s) Amélie BAUSIER</w:t>
            </w:r>
          </w:p>
        </w:tc>
        <w:tc>
          <w:tcPr>
            <w:tcW w:w="4707" w:type="dxa"/>
            <w:tcBorders/>
          </w:tcPr>
          <w:p>
            <w:pPr>
              <w:pStyle w:val="Standard2"/>
              <w:jc w:val="right"/>
              <w:rPr>
                <w:rFonts w:ascii="Calibri" w:hAnsi="Calibri"/>
                <w:b/>
                <w:b/>
                <w:bCs/>
              </w:rPr>
            </w:pPr>
            <w:r>
              <w:rPr>
                <w:rFonts w:ascii="Calibri" w:hAnsi="Calibri"/>
                <w:b/>
                <w:bCs/>
              </w:rPr>
              <w:t>(s) Jean-Pierre BOURDEAUD'HUY</w:t>
            </w:r>
          </w:p>
        </w:tc>
      </w:tr>
    </w:tbl>
    <w:p>
      <w:pPr>
        <w:pStyle w:val="Normal"/>
        <w:rPr>
          <w:rFonts w:ascii="Calibri" w:hAnsi="Calibri"/>
        </w:rPr>
      </w:pPr>
      <w:r>
        <w:rPr>
          <w:rFonts w:ascii="Calibri" w:hAnsi="Calibri"/>
        </w:rPr>
      </w:r>
    </w:p>
    <w:sectPr>
      <w:footerReference w:type="default" r:id="rId3"/>
      <w:type w:val="nextPage"/>
      <w:pgSz w:w="12240" w:h="15840"/>
      <w:pgMar w:left="1417" w:right="1417" w:gutter="0" w:header="0" w:top="540" w:footer="720" w:bottom="899"/>
      <w:pgNumType w:start="1"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default"/>
  </w:font>
  <w:font w:name="Tahoma">
    <w:charset w:val="00"/>
    <w:family w:val="swiss"/>
    <w:pitch w:val="variable"/>
  </w:font>
  <w:font w:name="Courier New">
    <w:charset w:val="00"/>
    <w:family w:val="modern"/>
    <w:pitch w:val="default"/>
  </w:font>
  <w:font w:name="Wingdings">
    <w:charset w:val="02"/>
    <w:family w:val="auto"/>
    <w:pitch w:val="variable"/>
  </w:font>
  <w:font w:name="Liberation Sans">
    <w:altName w:val="Arial"/>
    <w:charset w:val="00"/>
    <w:family w:val="swiss"/>
    <w:pitch w:val="variable"/>
  </w:font>
  <w:font w:name="Times">
    <w:altName w:val="Times New Roman"/>
    <w:charset w:val="00"/>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jc w:val="right"/>
      <w:rPr>
        <w:rFonts w:ascii="Calibri" w:hAnsi="Calibri"/>
        <w:bdr w:val="single" w:sz="2" w:space="1" w:color="000000"/>
      </w:rPr>
    </w:pPr>
    <w:r>
      <w:rPr>
        <w:rFonts w:ascii="Calibri" w:hAnsi="Calibri"/>
        <w:bdr w:val="single" w:sz="2" w:space="1" w:color="000000"/>
      </w:rPr>
      <w:fldChar w:fldCharType="begin"/>
    </w:r>
    <w:r>
      <w:rPr>
        <w:bdr w:val="single" w:sz="2" w:space="1" w:color="000000"/>
        <w:rFonts w:ascii="Calibri" w:hAnsi="Calibri"/>
      </w:rPr>
      <w:instrText xml:space="preserve"> PAGE </w:instrText>
    </w:r>
    <w:r>
      <w:rPr>
        <w:bdr w:val="single" w:sz="2" w:space="1" w:color="000000"/>
        <w:rFonts w:ascii="Calibri" w:hAnsi="Calibri"/>
      </w:rPr>
      <w:fldChar w:fldCharType="separate"/>
    </w:r>
    <w:r>
      <w:rPr>
        <w:bdr w:val="single" w:sz="2" w:space="1" w:color="000000"/>
        <w:rFonts w:ascii="Calibri" w:hAnsi="Calibri"/>
      </w:rPr>
      <w:t>13</w:t>
    </w:r>
    <w:r>
      <w:rPr>
        <w:bdr w:val="single" w:sz="2" w:space="1" w:color="000000"/>
        <w:rFonts w:ascii="Calibri" w:hAnsi="Calibri"/>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left"/>
      <w:pPr>
        <w:tabs>
          <w:tab w:val="num" w:pos="432"/>
        </w:tabs>
        <w:ind w:left="432" w:hanging="432"/>
      </w:pPr>
    </w:lvl>
    <w:lvl w:ilvl="1">
      <w:start w:val="1"/>
      <w:pStyle w:val="Heading2"/>
      <w:numFmt w:val="none"/>
      <w:suff w:val="nothing"/>
      <w:lvlText w:val="%2"/>
      <w:lvlJc w:val="left"/>
      <w:pPr>
        <w:tabs>
          <w:tab w:val="num" w:pos="576"/>
        </w:tabs>
        <w:ind w:left="576" w:hanging="576"/>
      </w:pPr>
    </w:lvl>
    <w:lvl w:ilvl="2">
      <w:start w:val="1"/>
      <w:pStyle w:val="Heading3"/>
      <w:numFmt w:val="none"/>
      <w:suff w:val="nothing"/>
      <w:lvlText w:val="%3"/>
      <w:lvlJc w:val="left"/>
      <w:pPr>
        <w:tabs>
          <w:tab w:val="num" w:pos="720"/>
        </w:tabs>
        <w:ind w:left="720" w:hanging="720"/>
      </w:pPr>
    </w:lvl>
    <w:lvl w:ilvl="3">
      <w:start w:val="1"/>
      <w:pStyle w:val="Heading4"/>
      <w:numFmt w:val="none"/>
      <w:suff w:val="nothing"/>
      <w:lvlText w:val="%4"/>
      <w:lvlJc w:val="left"/>
      <w:pPr>
        <w:tabs>
          <w:tab w:val="num" w:pos="864"/>
        </w:tabs>
        <w:ind w:left="864" w:hanging="864"/>
      </w:pPr>
    </w:lvl>
    <w:lvl w:ilvl="4">
      <w:start w:val="1"/>
      <w:pStyle w:val="Heading5"/>
      <w:numFmt w:val="none"/>
      <w:suff w:val="nothing"/>
      <w:lvlText w:val="%5"/>
      <w:lvlJc w:val="left"/>
      <w:pPr>
        <w:tabs>
          <w:tab w:val="num" w:pos="1008"/>
        </w:tabs>
        <w:ind w:left="1008" w:hanging="1008"/>
      </w:pPr>
    </w:lvl>
    <w:lvl w:ilvl="5">
      <w:start w:val="1"/>
      <w:pStyle w:val="Heading6"/>
      <w:numFmt w:val="none"/>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pStyle w:val="Heading9"/>
      <w:numFmt w:val="none"/>
      <w:suff w:val="nothing"/>
      <w:lvlText w:val="%9"/>
      <w:lvlJc w:val="left"/>
      <w:pPr>
        <w:tabs>
          <w:tab w:val="num" w:pos="1584"/>
        </w:tabs>
        <w:ind w:left="1584" w:hanging="1584"/>
      </w:pPr>
    </w:lvl>
  </w:abstractNum>
  <w:abstractNum w:abstractNumId="2">
    <w:lvl w:ilvl="0">
      <w:start w:val="1"/>
      <w:numFmt w:val="decimal"/>
      <w:lvlText w:val="%1."/>
      <w:lvlJc w:val="left"/>
      <w:pPr>
        <w:tabs>
          <w:tab w:val="num" w:pos="922"/>
        </w:tabs>
        <w:ind w:left="922" w:hanging="461"/>
      </w:pPr>
      <w:rPr/>
    </w:lvl>
    <w:lvl w:ilvl="1">
      <w:start w:val="1"/>
      <w:numFmt w:val="decimal"/>
      <w:lvlText w:val="%2."/>
      <w:lvlJc w:val="left"/>
      <w:pPr>
        <w:tabs>
          <w:tab w:val="num" w:pos="1383"/>
        </w:tabs>
        <w:ind w:left="1383" w:hanging="461"/>
      </w:pPr>
      <w:rPr/>
    </w:lvl>
    <w:lvl w:ilvl="2">
      <w:start w:val="1"/>
      <w:numFmt w:val="decimal"/>
      <w:lvlText w:val="%3."/>
      <w:lvlJc w:val="left"/>
      <w:pPr>
        <w:tabs>
          <w:tab w:val="num" w:pos="1843"/>
        </w:tabs>
        <w:ind w:left="1843" w:hanging="461"/>
      </w:pPr>
      <w:rPr/>
    </w:lvl>
    <w:lvl w:ilvl="3">
      <w:start w:val="1"/>
      <w:numFmt w:val="decimal"/>
      <w:lvlText w:val="%4."/>
      <w:lvlJc w:val="left"/>
      <w:pPr>
        <w:tabs>
          <w:tab w:val="num" w:pos="2304"/>
        </w:tabs>
        <w:ind w:left="2304" w:hanging="461"/>
      </w:pPr>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fr-FR"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jc w:val="both"/>
    </w:pPr>
    <w:rPr>
      <w:rFonts w:ascii="Calibri" w:hAnsi="Calibri" w:eastAsia="Noto Serif CJK SC" w:cs="Lohit Devanagari"/>
      <w:color w:val="auto"/>
      <w:kern w:val="2"/>
      <w:sz w:val="22"/>
      <w:szCs w:val="24"/>
      <w:lang w:val="fr-FR" w:eastAsia="zh-CN" w:bidi="hi-IN"/>
    </w:rPr>
  </w:style>
  <w:style w:type="paragraph" w:styleId="Heading1">
    <w:name w:val="Heading 1"/>
    <w:basedOn w:val="Heading"/>
    <w:next w:val="Normal"/>
    <w:qFormat/>
    <w:pPr>
      <w:numPr>
        <w:ilvl w:val="0"/>
        <w:numId w:val="1"/>
      </w:numPr>
      <w:spacing w:before="240" w:after="120"/>
      <w:outlineLvl w:val="0"/>
    </w:pPr>
    <w:rPr>
      <w:b/>
      <w:bCs/>
      <w:sz w:val="36"/>
      <w:szCs w:val="36"/>
    </w:rPr>
  </w:style>
  <w:style w:type="paragraph" w:styleId="Heading2">
    <w:name w:val="Heading 2"/>
    <w:basedOn w:val="Normal"/>
    <w:next w:val="Normal"/>
    <w:qFormat/>
    <w:pPr>
      <w:keepNext w:val="true"/>
      <w:numPr>
        <w:ilvl w:val="1"/>
        <w:numId w:val="1"/>
      </w:numPr>
      <w:spacing w:before="0" w:after="0"/>
      <w:ind w:left="-1106" w:right="1586" w:hanging="28"/>
      <w:jc w:val="both"/>
      <w:outlineLvl w:val="1"/>
    </w:pPr>
    <w:rPr>
      <w:rFonts w:eastAsia="Arial Unicode MS" w:cs="Arial Unicode MS"/>
      <w:sz w:val="28"/>
      <w:szCs w:val="20"/>
    </w:rPr>
  </w:style>
  <w:style w:type="paragraph" w:styleId="Heading3">
    <w:name w:val="Heading 3"/>
    <w:basedOn w:val="Heading"/>
    <w:next w:val="Normal"/>
    <w:qFormat/>
    <w:pPr>
      <w:numPr>
        <w:ilvl w:val="2"/>
        <w:numId w:val="1"/>
      </w:numPr>
      <w:spacing w:before="140" w:after="120"/>
      <w:outlineLvl w:val="2"/>
    </w:pPr>
    <w:rPr>
      <w:b/>
      <w:bCs/>
      <w:color w:val="808080"/>
      <w:sz w:val="28"/>
      <w:szCs w:val="28"/>
    </w:rPr>
  </w:style>
  <w:style w:type="paragraph" w:styleId="Heading4">
    <w:name w:val="Heading 4"/>
    <w:basedOn w:val="Normal"/>
    <w:next w:val="Normal"/>
    <w:qFormat/>
    <w:pPr>
      <w:keepNext w:val="true"/>
      <w:numPr>
        <w:ilvl w:val="3"/>
        <w:numId w:val="1"/>
      </w:numPr>
      <w:spacing w:before="240" w:after="240"/>
      <w:ind w:left="1264" w:right="0" w:hanging="0"/>
      <w:jc w:val="center"/>
      <w:outlineLvl w:val="3"/>
    </w:pPr>
    <w:rPr>
      <w:b/>
      <w:bCs/>
      <w:sz w:val="28"/>
    </w:rPr>
  </w:style>
  <w:style w:type="paragraph" w:styleId="Heading5">
    <w:name w:val="Heading 5"/>
    <w:basedOn w:val="Normal"/>
    <w:next w:val="Normal"/>
    <w:qFormat/>
    <w:pPr>
      <w:keepNext w:val="true"/>
      <w:numPr>
        <w:ilvl w:val="4"/>
        <w:numId w:val="1"/>
      </w:numPr>
      <w:spacing w:before="240" w:after="240"/>
      <w:ind w:left="1264" w:right="0" w:hanging="0"/>
      <w:outlineLvl w:val="4"/>
    </w:pPr>
    <w:rPr>
      <w:b/>
      <w:bCs/>
      <w:sz w:val="28"/>
      <w:u w:val="single"/>
    </w:rPr>
  </w:style>
  <w:style w:type="paragraph" w:styleId="Heading6">
    <w:name w:val="Heading 6"/>
    <w:basedOn w:val="Heading"/>
    <w:next w:val="Normal"/>
    <w:qFormat/>
    <w:pPr>
      <w:numPr>
        <w:ilvl w:val="5"/>
        <w:numId w:val="1"/>
      </w:numPr>
      <w:spacing w:before="60" w:after="60"/>
      <w:outlineLvl w:val="5"/>
    </w:pPr>
    <w:rPr>
      <w:b/>
      <w:bCs/>
      <w:i/>
      <w:iCs/>
      <w:sz w:val="24"/>
      <w:szCs w:val="24"/>
    </w:rPr>
  </w:style>
  <w:style w:type="paragraph" w:styleId="Heading9">
    <w:name w:val="Heading 9"/>
    <w:basedOn w:val="Normal"/>
    <w:next w:val="Normal"/>
    <w:qFormat/>
    <w:pPr>
      <w:keepNext w:val="true"/>
      <w:numPr>
        <w:ilvl w:val="8"/>
        <w:numId w:val="1"/>
      </w:numPr>
      <w:pBdr>
        <w:top w:val="single" w:sz="4" w:space="0" w:color="000000"/>
        <w:left w:val="single" w:sz="4" w:space="0" w:color="000000"/>
        <w:bottom w:val="single" w:sz="4" w:space="0" w:color="000000"/>
        <w:right w:val="single" w:sz="4" w:space="0" w:color="000000"/>
      </w:pBdr>
      <w:spacing w:before="0" w:after="0"/>
      <w:ind w:left="2835" w:right="707" w:hanging="0"/>
      <w:jc w:val="center"/>
      <w:outlineLvl w:val="8"/>
    </w:pPr>
    <w:rPr>
      <w:szCs w:val="20"/>
      <w:lang w:val="fr-FR"/>
    </w:rPr>
  </w:style>
  <w:style w:type="character" w:styleId="PODNumberingSymbols">
    <w:name w:val="POD Numbering Symbols"/>
    <w:qFormat/>
    <w:rPr/>
  </w:style>
  <w:style w:type="character" w:styleId="PODBulletSymbols">
    <w:name w:val="POD Bullet Symbols"/>
    <w:qFormat/>
    <w:rPr/>
  </w:style>
  <w:style w:type="character" w:styleId="WW8Num7z1">
    <w:name w:val="WW8Num7z1"/>
    <w:qFormat/>
    <w:rPr>
      <w:rFonts w:ascii="Tahoma" w:hAnsi="Tahoma" w:eastAsia="Times New Roman" w:cs="Tahoma"/>
    </w:rPr>
  </w:style>
  <w:style w:type="character" w:styleId="WW8Num10z0">
    <w:name w:val="WW8Num10z0"/>
    <w:qFormat/>
    <w:rPr>
      <w:rFonts w:ascii="Tahoma" w:hAnsi="Tahoma" w:eastAsia="Times New Roman" w:cs="Tahoma"/>
    </w:rPr>
  </w:style>
  <w:style w:type="character" w:styleId="WW8Num10z1">
    <w:name w:val="WW8Num10z1"/>
    <w:qFormat/>
    <w:rPr>
      <w:rFonts w:ascii="Courier New" w:hAnsi="Courier New" w:cs="Courier New"/>
    </w:rPr>
  </w:style>
  <w:style w:type="character" w:styleId="WW8Num10z2">
    <w:name w:val="WW8Num10z2"/>
    <w:qFormat/>
    <w:rPr>
      <w:rFonts w:ascii="Wingdings" w:hAnsi="Wingdings"/>
    </w:rPr>
  </w:style>
  <w:style w:type="character" w:styleId="WW8Num10z3">
    <w:name w:val="WW8Num10z3"/>
    <w:qFormat/>
    <w:rPr>
      <w:rFonts w:ascii="Symbol" w:hAnsi="Symbol"/>
    </w:rPr>
  </w:style>
  <w:style w:type="character" w:styleId="Policepardfaut">
    <w:name w:val="Police par défaut"/>
    <w:qFormat/>
    <w:rPr/>
  </w:style>
  <w:style w:type="character" w:styleId="PageNumber">
    <w:name w:val="Page Number"/>
    <w:basedOn w:val="Policepardfaut"/>
    <w:rPr/>
  </w:style>
  <w:style w:type="character" w:styleId="FwK1pod">
    <w:name w:val="FwK1pod"/>
    <w:qFormat/>
    <w:rPr>
      <w:u w:val="single"/>
    </w:rPr>
  </w:style>
  <w:style w:type="character" w:styleId="FwK3pod">
    <w:name w:val="FwK3pod"/>
    <w:qFormat/>
    <w:rPr>
      <w:b/>
    </w:rPr>
  </w:style>
  <w:style w:type="character" w:styleId="InternetLink">
    <w:name w:val="Hyperlink"/>
    <w:rPr>
      <w:color w:val="000080"/>
      <w:u w:val="single"/>
    </w:rPr>
  </w:style>
  <w:style w:type="paragraph" w:styleId="ParaKWN">
    <w:name w:val="ParaKWN"/>
    <w:basedOn w:val="Normal"/>
    <w:qFormat/>
    <w:pPr>
      <w:keepNext w:val="true"/>
    </w:pPr>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PodPageBreakBefore">
    <w:name w:val="podPageBreakBefore"/>
    <w:qFormat/>
    <w:pPr>
      <w:pageBreakBefore/>
      <w:widowControl/>
      <w:kinsoku w:val="true"/>
      <w:overflowPunct w:val="true"/>
      <w:autoSpaceDE w:val="true"/>
      <w:bidi w:val="0"/>
      <w:spacing w:before="0" w:after="0"/>
      <w:ind w:left="0" w:right="0" w:hanging="0"/>
    </w:pPr>
    <w:rPr>
      <w:rFonts w:ascii="Liberation Serif" w:hAnsi="Liberation Serif" w:eastAsia="Noto Serif CJK SC" w:cs="Lohit Devanagari"/>
      <w:color w:val="auto"/>
      <w:kern w:val="2"/>
      <w:sz w:val="4"/>
      <w:szCs w:val="24"/>
      <w:lang w:val="fr-FR" w:eastAsia="zh-CN" w:bidi="hi-IN"/>
    </w:rPr>
  </w:style>
  <w:style w:type="paragraph" w:styleId="PodPageBreakBeforeDuplex">
    <w:name w:val="podPageBreakBeforeDuplex"/>
    <w:basedOn w:val="PodPageBreakBefore"/>
    <w:qFormat/>
    <w:pPr>
      <w:pageBreakBefore/>
    </w:pPr>
    <w:rPr/>
  </w:style>
  <w:style w:type="paragraph" w:styleId="PodPageBreakAfter">
    <w:name w:val="podPageBreakAfter"/>
    <w:qFormat/>
    <w:pPr>
      <w:widowControl/>
      <w:kinsoku w:val="true"/>
      <w:overflowPunct w:val="true"/>
      <w:autoSpaceDE w:val="true"/>
      <w:bidi w:val="0"/>
      <w:spacing w:before="0" w:after="0"/>
      <w:ind w:left="0" w:right="0" w:hanging="0"/>
    </w:pPr>
    <w:rPr>
      <w:rFonts w:ascii="Liberation Serif" w:hAnsi="Liberation Serif" w:eastAsia="Noto Serif CJK SC" w:cs="Lohit Devanagari"/>
      <w:color w:val="auto"/>
      <w:kern w:val="2"/>
      <w:sz w:val="4"/>
      <w:szCs w:val="24"/>
      <w:lang w:val="fr-FR" w:eastAsia="zh-CN" w:bidi="hi-IN"/>
    </w:rPr>
  </w:style>
  <w:style w:type="paragraph" w:styleId="PodColumnBreak">
    <w:name w:val="podColumnBreak"/>
    <w:qFormat/>
    <w:pPr>
      <w:widowControl/>
      <w:kinsoku w:val="true"/>
      <w:overflowPunct w:val="true"/>
      <w:autoSpaceDE w:val="true"/>
      <w:bidi w:val="0"/>
    </w:pPr>
    <w:rPr>
      <w:rFonts w:ascii="Liberation Serif" w:hAnsi="Liberation Serif" w:eastAsia="Noto Serif CJK SC" w:cs="Lohit Devanagari"/>
      <w:color w:val="auto"/>
      <w:kern w:val="2"/>
      <w:sz w:val="24"/>
      <w:szCs w:val="24"/>
      <w:lang w:val="fr-FR" w:eastAsia="zh-CN" w:bidi="hi-IN"/>
    </w:rPr>
  </w:style>
  <w:style w:type="paragraph" w:styleId="PodBulletItem">
    <w:name w:val="podBulletItem"/>
    <w:basedOn w:val="Normal"/>
    <w:qFormat/>
    <w:pPr>
      <w:numPr>
        <w:ilvl w:val="0"/>
        <w:numId w:val="3"/>
      </w:numPr>
    </w:pPr>
    <w:rPr/>
  </w:style>
  <w:style w:type="paragraph" w:styleId="PodNumberItem">
    <w:name w:val="podNumberItem"/>
    <w:basedOn w:val="Normal"/>
    <w:qFormat/>
    <w:pPr>
      <w:numPr>
        <w:ilvl w:val="0"/>
        <w:numId w:val="2"/>
      </w:numPr>
    </w:pPr>
    <w:rPr/>
  </w:style>
  <w:style w:type="paragraph" w:styleId="PodBulletItemKeepWithNext">
    <w:name w:val="podBulletItemKeepWithNext"/>
    <w:basedOn w:val="Normal"/>
    <w:qFormat/>
    <w:pPr>
      <w:keepNext w:val="true"/>
      <w:numPr>
        <w:ilvl w:val="0"/>
        <w:numId w:val="3"/>
      </w:numPr>
    </w:pPr>
    <w:rPr/>
  </w:style>
  <w:style w:type="paragraph" w:styleId="PodNumberItemKeepWithNext">
    <w:name w:val="podNumberItemKeepWithNext"/>
    <w:basedOn w:val="Normal"/>
    <w:qFormat/>
    <w:pPr>
      <w:keepNext w:val="true"/>
      <w:numPr>
        <w:ilvl w:val="0"/>
        <w:numId w:val="2"/>
      </w:numPr>
    </w:pPr>
    <w:rPr/>
  </w:style>
  <w:style w:type="paragraph" w:styleId="Tablecell">
    <w:name w:val="Table cell"/>
    <w:basedOn w:val="Normal"/>
    <w:qFormat/>
    <w:pPr>
      <w:suppressLineNumbers/>
      <w:spacing w:before="0" w:after="0"/>
    </w:pPr>
    <w:rPr/>
  </w:style>
  <w:style w:type="paragraph" w:styleId="Tableheading">
    <w:name w:val="Table heading"/>
    <w:basedOn w:val="Tablecell"/>
    <w:qFormat/>
    <w:pPr/>
    <w:rPr>
      <w:b/>
      <w:bCs/>
    </w:rPr>
  </w:style>
  <w:style w:type="paragraph" w:styleId="PodTablePara">
    <w:name w:val="podTablePara"/>
    <w:basedOn w:val="Tablecell"/>
    <w:qFormat/>
    <w:pPr/>
    <w:rPr>
      <w:b w:val="false"/>
      <w:bCs w:val="false"/>
      <w:sz w:val="16"/>
    </w:rPr>
  </w:style>
  <w:style w:type="paragraph" w:styleId="PodTableParaBold">
    <w:name w:val="podTableParaBold"/>
    <w:basedOn w:val="Tablecell"/>
    <w:qFormat/>
    <w:pPr/>
    <w:rPr>
      <w:b/>
      <w:bCs/>
      <w:sz w:val="16"/>
    </w:rPr>
  </w:style>
  <w:style w:type="paragraph" w:styleId="PodTableParaRight">
    <w:name w:val="podTableParaRight"/>
    <w:basedOn w:val="Tablecell"/>
    <w:qFormat/>
    <w:pPr>
      <w:jc w:val="right"/>
    </w:pPr>
    <w:rPr>
      <w:b w:val="false"/>
      <w:bCs w:val="false"/>
      <w:sz w:val="16"/>
    </w:rPr>
  </w:style>
  <w:style w:type="paragraph" w:styleId="PodTableParaBoldRight">
    <w:name w:val="podTableParaBoldRight"/>
    <w:basedOn w:val="Tablecell"/>
    <w:qFormat/>
    <w:pPr>
      <w:jc w:val="right"/>
    </w:pPr>
    <w:rPr>
      <w:b/>
      <w:bCs/>
      <w:sz w:val="16"/>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centr">
    <w:name w:val="Normal centré"/>
    <w:basedOn w:val="Normal"/>
    <w:qFormat/>
    <w:pPr>
      <w:pBdr>
        <w:top w:val="single" w:sz="4" w:space="1" w:color="000000"/>
        <w:left w:val="single" w:sz="4" w:space="4" w:color="000000"/>
        <w:bottom w:val="single" w:sz="4" w:space="1" w:color="000000"/>
        <w:right w:val="single" w:sz="4" w:space="4" w:color="000000"/>
      </w:pBdr>
      <w:tabs>
        <w:tab w:val="clear" w:pos="709"/>
        <w:tab w:val="left" w:pos="4962" w:leader="none"/>
      </w:tabs>
      <w:spacing w:before="0" w:after="0"/>
      <w:ind w:left="2552" w:right="1586" w:hanging="0"/>
      <w:jc w:val="center"/>
    </w:pPr>
    <w:rPr>
      <w:rFonts w:ascii="Tahoma" w:hAnsi="Tahoma"/>
      <w:b/>
      <w:bCs/>
      <w:sz w:val="28"/>
      <w:lang w:val="fr-FR"/>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Footer">
    <w:name w:val="Footer"/>
    <w:basedOn w:val="Normal"/>
    <w:pPr>
      <w:tabs>
        <w:tab w:val="clear" w:pos="709"/>
        <w:tab w:val="center" w:pos="4320" w:leader="none"/>
        <w:tab w:val="right" w:pos="8640" w:leader="none"/>
      </w:tabs>
    </w:pPr>
    <w:rPr>
      <w:rFonts w:ascii="Times" w:hAnsi="Times"/>
      <w:smallCaps/>
      <w:szCs w:val="20"/>
      <w:lang w:val="fr-FR"/>
    </w:rPr>
  </w:style>
  <w:style w:type="paragraph" w:styleId="Textedebulles">
    <w:name w:val="Texte de bulles"/>
    <w:basedOn w:val="Normal"/>
    <w:qFormat/>
    <w:pPr/>
    <w:rPr>
      <w:rFonts w:ascii="Tahoma" w:hAnsi="Tahoma" w:cs="Tahoma"/>
      <w:sz w:val="16"/>
      <w:szCs w:val="16"/>
    </w:rPr>
  </w:style>
  <w:style w:type="paragraph" w:styleId="FrameContents">
    <w:name w:val="Frame Contents"/>
    <w:basedOn w:val="TextBody"/>
    <w:qFormat/>
    <w:pPr/>
    <w:rPr/>
  </w:style>
  <w:style w:type="paragraph" w:styleId="Header">
    <w:name w:val="Header"/>
    <w:basedOn w:val="Normal"/>
    <w:pPr>
      <w:suppressLineNumbers/>
      <w:tabs>
        <w:tab w:val="clear" w:pos="709"/>
        <w:tab w:val="center" w:pos="4818" w:leader="none"/>
        <w:tab w:val="right" w:pos="9637" w:leader="none"/>
      </w:tabs>
    </w:pPr>
    <w:rPr/>
  </w:style>
  <w:style w:type="paragraph" w:styleId="Ttirebordureshautbas">
    <w:name w:val="Ttire_bordures_haut_bas"/>
    <w:basedOn w:val="Heading"/>
    <w:qFormat/>
    <w:pPr>
      <w:pBdr>
        <w:top w:val="single" w:sz="2" w:space="1" w:color="000000"/>
        <w:bottom w:val="single" w:sz="2" w:space="1" w:color="000000"/>
      </w:pBdr>
      <w:jc w:val="left"/>
    </w:pPr>
    <w:rPr>
      <w:color w:val="000000"/>
    </w:rPr>
  </w:style>
  <w:style w:type="paragraph" w:styleId="TableContents">
    <w:name w:val="Table Contents"/>
    <w:basedOn w:val="Normal"/>
    <w:qFormat/>
    <w:pPr>
      <w:suppressLineNumbers/>
    </w:pPr>
    <w:rPr/>
  </w:style>
  <w:style w:type="paragraph" w:styleId="TableHeading1">
    <w:name w:val="Table Heading"/>
    <w:basedOn w:val="TableContents"/>
    <w:qFormat/>
    <w:pPr>
      <w:suppressLineNumbers/>
      <w:jc w:val="center"/>
    </w:pPr>
    <w:rPr>
      <w:b/>
      <w:bCs/>
      <w:i/>
      <w:iCs/>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Standard2">
    <w:name w:val="Standard2"/>
    <w:qFormat/>
    <w:pPr>
      <w:widowControl/>
      <w:kinsoku w:val="true"/>
      <w:overflowPunct w:val="true"/>
      <w:autoSpaceDE w:val="true"/>
      <w:bidi w:val="0"/>
    </w:pPr>
    <w:rPr>
      <w:rFonts w:ascii="Tahoma" w:hAnsi="Tahoma" w:eastAsia="Noto Serif CJK SC" w:cs="Lohit Devanagari"/>
      <w:color w:val="auto"/>
      <w:kern w:val="2"/>
      <w:sz w:val="20"/>
      <w:szCs w:val="24"/>
      <w:lang w:val="fr-FR" w:eastAsia="zh-CN" w:bidi="hi-IN"/>
    </w:rPr>
  </w:style>
  <w:style w:type="paragraph" w:styleId="PmParaKeepWithNext">
    <w:name w:val="pmParaKeepWithNext"/>
    <w:basedOn w:val="Normal"/>
    <w:qFormat/>
    <w:pPr>
      <w:keepNext w:val="true"/>
    </w:pPr>
    <w:rPr/>
  </w:style>
  <w:style w:type="paragraph" w:styleId="XSmallText">
    <w:name w:val="xSmallText"/>
    <w:basedOn w:val="Normal"/>
    <w:qFormat/>
    <w:pPr/>
    <w:rPr>
      <w:rFonts w:ascii="Liberation Sans" w:hAnsi="Liberation Sans"/>
      <w:sz w:val="14"/>
    </w:rPr>
  </w:style>
  <w:style w:type="paragraph" w:styleId="SmallText">
    <w:name w:val="smallText"/>
    <w:basedOn w:val="Normal"/>
    <w:qFormat/>
    <w:pPr/>
    <w:rPr>
      <w:sz w:val="18"/>
    </w:rPr>
  </w:style>
  <w:style w:type="paragraph" w:styleId="LargeText">
    <w:name w:val="largeText"/>
    <w:basedOn w:val="SmallText"/>
    <w:qFormat/>
    <w:pPr/>
    <w:rPr>
      <w:sz w:val="32"/>
    </w:rPr>
  </w:style>
  <w:style w:type="paragraph" w:styleId="XLargeText">
    <w:name w:val="xLargeText"/>
    <w:basedOn w:val="LargeText"/>
    <w:qFormat/>
    <w:pPr/>
    <w:rPr>
      <w:rFonts w:ascii="Times New Roman" w:hAnsi="Times New Roman"/>
      <w:sz w:val="36"/>
    </w:rPr>
  </w:style>
  <w:style w:type="paragraph" w:styleId="Textedelibe">
    <w:name w:val="texte_delibe"/>
    <w:basedOn w:val="Normal"/>
    <w:qFormat/>
    <w:pPr>
      <w:spacing w:lineRule="auto" w:line="240" w:before="0" w:after="170"/>
    </w:pPr>
    <w:rPr>
      <w:rFonts w:ascii="Liberation Sans" w:hAnsi="Liberation Sans"/>
      <w:sz w:val="22"/>
    </w:rPr>
  </w:style>
  <w:style w:type="paragraph" w:styleId="Comment">
    <w:name w:val="Comment"/>
    <w:basedOn w:val="Normal"/>
    <w:qFormat/>
    <w:pPr/>
    <w:rPr>
      <w:sz w:val="20"/>
      <w:szCs w:val="20"/>
    </w:rPr>
  </w:style>
  <w:style w:type="paragraph" w:styleId="MltAssembly">
    <w:name w:val="mltAssembly"/>
    <w:basedOn w:val="Normal"/>
    <w:qFormat/>
    <w:pPr>
      <w:jc w:val="left"/>
    </w:pPr>
    <w:rPr/>
  </w:style>
  <w:style w:type="paragraph" w:styleId="FwK4pod">
    <w:name w:val="FwK4pod"/>
    <w:basedOn w:val="Normal"/>
    <w:qFormat/>
    <w:pPr>
      <w:jc w:val="both"/>
    </w:pPr>
    <w:rPr/>
  </w:style>
  <w:style w:type="paragraph" w:styleId="FwK5pod">
    <w:name w:val="FwK5pod"/>
    <w:basedOn w:val="PodBulletItem"/>
    <w:qFormat/>
    <w:pPr>
      <w:jc w:val="both"/>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PodNumberedList">
    <w:name w:val="podNumberedList"/>
    <w:qFormat/>
  </w:style>
  <w:style w:type="numbering" w:styleId="PodBulletedList">
    <w:name w:val="podBulleted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sabelle.bayonnet@igretec.com"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34</TotalTime>
  <Application>LibreOffice/7.3.7.2$Linux_X86_64 LibreOffice_project/30$Build-2</Application>
  <AppVersion>15.0000</AppVersion>
  <Pages>2</Pages>
  <Words>151</Words>
  <Characters>1414</Characters>
  <CharactersWithSpaces>1489</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2025-03-12T09:47:43Z</dcterms:created>
  <dc:creator/>
  <dc:description/>
  <dc:language>en-US</dc:language>
  <cp:lastModifiedBy>Dorian Mathieux</cp:lastModifiedBy>
  <dcterms:modified xsi:type="dcterms:W3CDTF">2026-06-25T13:55:23Z</dcterms:modified>
  <cp:revision>51</cp:revision>
  <dc:subject/>
  <dc:title>tmpBQdsf6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horEmail">
    <vt:lpwstr/>
  </property>
  <property fmtid="{D5CDD505-2E9C-101B-9397-08002B2CF9AE}" pid="3" name="_AuthorEmailDisplayName">
    <vt:lpwstr/>
  </property>
  <property fmtid="{D5CDD505-2E9C-101B-9397-08002B2CF9AE}" pid="4" name="_EmailSubject">
    <vt:lpwstr/>
  </property>
</Properties>
</file>