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top w:val="single" w:sz="2" w:space="1" w:color="000000"/>
          <w:left w:val="single" w:sz="2" w:space="1" w:color="000000"/>
          <w:bottom w:val="single" w:sz="2" w:space="1" w:color="000000"/>
          <w:right w:val="single" w:sz="2" w:space="1" w:color="000000"/>
        </w:pBdr>
        <w:jc w:val="center"/>
        <w:rPr>
          <w:rFonts w:ascii="Calibri" w:hAnsi="Calibri" w:cs="Tahoma"/>
          <w:b/>
          <w:b/>
          <w:bCs/>
          <w:sz w:val="28"/>
          <w:szCs w:val="28"/>
          <w:u w:val="single"/>
        </w:rPr>
      </w:pPr>
      <w:r>
        <w:rPr>
          <w:rFonts w:cs="Tahoma" w:ascii="Calibri" w:hAnsi="Calibri"/>
          <w:b/>
          <w:bCs/>
          <w:sz w:val="28"/>
          <w:szCs w:val="28"/>
          <w:u w:val="single"/>
        </w:rPr>
        <w:t xml:space="preserve">Séance </w:t>
      </w:r>
      <w:r>
        <w:rPr>
          <w:rFonts w:cs="Tahoma" w:ascii="Calibri" w:hAnsi="Calibri"/>
          <w:b/>
          <w:bCs/>
          <w:sz w:val="28"/>
          <w:szCs w:val="28"/>
          <w:u w:val="single"/>
        </w:rPr>
        <w:t xml:space="preserve">du Conseil Communal </w:t>
      </w:r>
      <w:r>
        <w:rPr>
          <w:rFonts w:cs="Tahoma" w:ascii="Calibri" w:hAnsi="Calibri"/>
          <w:b/>
          <w:bCs/>
          <w:sz w:val="28"/>
          <w:szCs w:val="28"/>
          <w:u w:val="single"/>
        </w:rPr>
        <w:t>du 29 avril 2026 (19:30)</w:t>
      </w:r>
    </w:p>
    <w:p>
      <w:pPr>
        <w:pStyle w:val="Normal"/>
        <w:rPr>
          <w:rFonts w:ascii="Calibri" w:hAnsi="Calibri" w:cs="Tahoma"/>
          <w:sz w:val="20"/>
          <w:szCs w:val="20"/>
        </w:rPr>
      </w:pPr>
      <w:r>
        <w:rPr>
          <w:rFonts w:cs="Tahoma" w:ascii="Calibri" w:hAnsi="Calibri"/>
          <w:sz w:val="20"/>
          <w:szCs w:val="20"/>
        </w:rPr>
      </w:r>
    </w:p>
    <w:p>
      <w:pPr>
        <w:pStyle w:val="Normal"/>
        <w:jc w:val="both"/>
        <w:rPr>
          <w:rFonts w:ascii="Calibri" w:hAnsi="Calibri"/>
          <w:caps/>
          <w:u w:val="single"/>
        </w:rPr>
      </w:pPr>
      <w:r>
        <w:rPr>
          <w:rFonts w:ascii="Calibri" w:hAnsi="Calibri"/>
          <w:b/>
          <w:bCs/>
          <w:caps/>
          <w:u w:val="single"/>
        </w:rPr>
        <w:t xml:space="preserve">Composition de l’assemblée </w:t>
      </w:r>
      <w:r>
        <w:rPr>
          <w:rFonts w:ascii="Calibri" w:hAnsi="Calibri"/>
          <w:b/>
          <w:bCs/>
          <w:caps/>
          <w:u w:val="single"/>
        </w:rPr>
        <w:t>:</w:t>
      </w:r>
    </w:p>
    <w:p>
      <w:pPr>
        <w:pStyle w:val="Normal"/>
        <w:jc w:val="both"/>
        <w:rPr>
          <w:rFonts w:ascii="Calibri" w:hAnsi="Calibri"/>
          <w:b/>
          <w:b/>
          <w:bCs/>
          <w:caps/>
          <w:u w:val="single"/>
        </w:rPr>
      </w:pPr>
      <w:r>
        <w:rPr>
          <w:rFonts w:ascii="Calibri" w:hAnsi="Calibri"/>
          <w:b/>
          <w:bCs/>
          <w:caps/>
          <w:u w:val="single"/>
        </w:rPr>
      </w:r>
    </w:p>
    <w:p>
      <w:pPr>
        <w:pStyle w:val="Normal"/>
        <w:tabs>
          <w:tab w:val="clear" w:pos="709"/>
        </w:tabs>
        <w:spacing w:before="0" w:after="0"/>
        <w:jc w:val="both"/>
        <w:rPr>
          <w:rFonts w:ascii="Calibri" w:hAnsi="Calibri"/>
          <w:b w:val="false"/>
          <w:b w:val="false"/>
          <w:bCs w:val="false"/>
          <w:u w:val="single"/>
        </w:rPr>
      </w:pPr>
      <w:r>
        <w:rPr>
          <w:rFonts w:ascii="Calibri" w:hAnsi="Calibri"/>
          <w:b w:val="false"/>
          <w:bCs w:val="false"/>
          <w:u w:val="single"/>
        </w:rPr>
        <w:t>PRESENTS :</w:t>
      </w:r>
    </w:p>
    <w:p>
      <w:pPr>
        <w:pStyle w:val="MltAssembly"/>
        <w:rPr/>
      </w:pPr>
      <w:r>
        <w:rPr/>
        <w:t>Monsieur J-P. BOURDEAUD'HUY, Bourgmestre - Président;</w:t>
        <w:br/>
        <w:t>Madame Ch. VERSCHUERE, Monsieur D. DETEMMERMAN, Madame M-F BOUDRY, Échevins;</w:t>
        <w:br/>
        <w:t>Monsieur M. VANHONACKER, Monsieur S. MORJEAN, Monsieur Ph. PHALEMPIN, Madame F. HERNOULD, Monsieur E. DE FRENE, Conseillers;</w:t>
        <w:br/>
        <w:t>Monsieur Ph. D'HONDT, Président du CPAS - siégeant avec voix consultative;</w:t>
        <w:br/>
        <w:t>Madame A. BAUSIER, Directrice générale;</w:t>
      </w:r>
    </w:p>
    <w:p>
      <w:pPr>
        <w:pStyle w:val="Normal"/>
        <w:tabs>
          <w:tab w:val="clear" w:pos="709"/>
        </w:tabs>
        <w:spacing w:before="0" w:after="0"/>
        <w:jc w:val="both"/>
        <w:rPr>
          <w:rFonts w:ascii="Calibri" w:hAnsi="Calibri"/>
          <w:u w:val="single"/>
        </w:rPr>
      </w:pPr>
      <w:r>
        <w:rPr>
          <w:rFonts w:ascii="Calibri" w:hAnsi="Calibri"/>
          <w:u w:val="single"/>
        </w:rPr>
        <w:t>EXCUSES :</w:t>
      </w:r>
    </w:p>
    <w:p>
      <w:pPr>
        <w:pStyle w:val="MltAssembly"/>
        <w:rPr/>
      </w:pPr>
      <w:r>
        <w:rPr/>
        <w:t>Madame V. GUEMJOM, Madame V. WEYTSMAN, Madame J. DEBRABANDERE, Madame M-R MAES, Conseillères;</w:t>
      </w:r>
    </w:p>
    <w:p>
      <w:pPr>
        <w:pStyle w:val="Normal"/>
        <w:tabs>
          <w:tab w:val="clear" w:pos="709"/>
        </w:tabs>
        <w:spacing w:before="0" w:after="0"/>
        <w:jc w:val="both"/>
        <w:rPr>
          <w:rFonts w:ascii="Calibri" w:hAnsi="Calibri"/>
        </w:rPr>
      </w:pPr>
      <w:r>
        <w:rPr>
          <w:rFonts w:ascii="Calibri" w:hAnsi="Calibri"/>
        </w:rPr>
      </w:r>
    </w:p>
    <w:p>
      <w:pPr>
        <w:pStyle w:val="Normal"/>
        <w:jc w:val="both"/>
        <w:rPr>
          <w:rFonts w:ascii="Calibri" w:hAnsi="Calibri"/>
          <w:b/>
          <w:b/>
          <w:bCs/>
          <w:u w:val="single"/>
        </w:rPr>
      </w:pPr>
      <w:r>
        <w:rPr>
          <w:rFonts w:ascii="Calibri" w:hAnsi="Calibri"/>
          <w:b/>
          <w:bCs/>
          <w:u w:val="single"/>
        </w:rPr>
        <w:t>SEANCE PUBLIQUE</w:t>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N°1 : Procès-verbal séance précédente ;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DECIDE : par 7 voix POUR et 2 ABSTENTIONS (Mme Hernould, Mr Vanhonacker)</w:t>
      </w:r>
    </w:p>
    <w:p>
      <w:pPr>
        <w:pStyle w:val="Normal"/>
        <w:rPr/>
      </w:pPr>
      <w:r>
        <w:rPr/>
        <w:t>d'approuver le procès-verbal de la séance du 02/04/2026.</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N°2 : CPAS - Rapport d'activités sur la CLE à destination du Conseil communal - Année; 2025;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les décrets relatifs à l'organisation des marchés régionaux du gaz (décr. 19.12.2002, art. 31 quater, par. 1er, al. 2) et de l'électricité (décr. 12.4.2001, art. 33ter, par. 1er, al. 2) ;</w:t>
      </w:r>
    </w:p>
    <w:p>
      <w:pPr>
        <w:pStyle w:val="Normal"/>
        <w:rPr/>
      </w:pPr>
      <w:r>
        <w:rPr/>
        <w:t>Vu le Code de la démocratie locale et de la décentralisation ;</w:t>
      </w:r>
    </w:p>
    <w:p>
      <w:pPr>
        <w:pStyle w:val="Normal"/>
        <w:rPr/>
      </w:pPr>
      <w:r>
        <w:rPr/>
        <w:t>Considérant que les Communes et C.P.A.S sont désormais tenus d'organiser une Commission locale pour l'énergie et de présenter le rapport d'activités au Conseil communal ;</w:t>
      </w:r>
    </w:p>
    <w:p>
      <w:pPr>
        <w:pStyle w:val="Normal"/>
        <w:rPr/>
      </w:pPr>
      <w:r>
        <w:rPr/>
        <w:t>Considérant que cette Commission se préoccupe plus précisément des personnes en défaut de paiement de leurs factures de gaz ou d'électricité, avant que des mesures telles que fermeture de compteur ou placement de compteurs limités ne soient prises ;</w:t>
      </w:r>
    </w:p>
    <w:p>
      <w:pPr>
        <w:pStyle w:val="Normal"/>
        <w:rPr/>
      </w:pPr>
      <w:r>
        <w:rPr/>
        <w:t>Considérant qu'elle se charge, en outre, de coordonner les mesures à prendre tant au niveau des clients en difficulté que des relations avec les Gestionnaires de réseau et mène des campagnes de sensibilisation individuelles via les permanences énergétiques et collectives auprès du public cible ;</w:t>
      </w:r>
    </w:p>
    <w:p>
      <w:pPr>
        <w:pStyle w:val="Normal"/>
        <w:rPr/>
      </w:pPr>
      <w:r>
        <w:rPr/>
        <w:t>Considérant que le C.P.A.S. de Mont de l'Enclus est actif en la matière;</w:t>
      </w:r>
    </w:p>
    <w:p>
      <w:pPr>
        <w:pStyle w:val="Normal"/>
        <w:rPr/>
      </w:pPr>
      <w:r>
        <w:rPr/>
        <w:t>Après en avoir délibéré ;</w:t>
      </w:r>
    </w:p>
    <w:p>
      <w:pPr>
        <w:pStyle w:val="Normal"/>
        <w:rPr/>
      </w:pPr>
      <w:r>
        <w:rPr/>
        <w:t>DECIDE : à l'unanimité</w:t>
      </w:r>
    </w:p>
    <w:p>
      <w:pPr>
        <w:pStyle w:val="Normal"/>
        <w:rPr/>
      </w:pPr>
      <w:r>
        <w:rPr/>
        <w:t> </w:t>
      </w:r>
    </w:p>
    <w:p>
      <w:pPr>
        <w:pStyle w:val="Normal"/>
        <w:rPr/>
      </w:pPr>
      <w:r>
        <w:rPr/>
        <w:t>Article premier :  D’approuver le rapport d'activités pour l’année 2025 du C.P.A.S. de Mont de l'Enclus dans le cadre de la Commission locale pour l'énergie;</w:t>
      </w:r>
    </w:p>
    <w:p>
      <w:pPr>
        <w:pStyle w:val="Normal"/>
        <w:rPr/>
      </w:pPr>
      <w:r>
        <w:rPr/>
        <w:t>Art.2.  : De transmettre la présente délibération :</w:t>
      </w:r>
    </w:p>
    <w:p>
      <w:pPr>
        <w:pStyle w:val="Normal"/>
        <w:rPr/>
      </w:pPr>
      <w:r>
        <w:rPr/>
        <w:t>- à Monsieur D'HONDT Ph., Président du Cpas de Mont de l'Enclus.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N°3 : Compte de la fabrique d'église de Russeignies; Exercice 2025 - Tutelle spéciale d'approbation;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et notamment les articles 41 et 162;</w:t>
      </w:r>
    </w:p>
    <w:p>
      <w:pPr>
        <w:pStyle w:val="Normal"/>
        <w:rPr/>
      </w:pPr>
      <w:r>
        <w:rPr/>
        <w:t>Vu le décret impérial du 30 décembre 1809 concernant les fabriques d’églises ;</w:t>
      </w:r>
    </w:p>
    <w:p>
      <w:pPr>
        <w:pStyle w:val="Normal"/>
        <w:rPr/>
      </w:pPr>
      <w:r>
        <w:rPr/>
        <w:t>Vu la loi du 04 mars 1870 sur le temporel des cultes, telle que modifiée par le décret du 13 mars 2014, les articles 6 et 7 ;</w:t>
      </w:r>
    </w:p>
    <w:p>
      <w:pPr>
        <w:pStyle w:val="Normal"/>
        <w:rPr/>
      </w:pPr>
      <w:r>
        <w:rPr/>
        <w:t>Vu la loi spéciale de réformes institutionnelles du 08 août 1980, l’article 6,§1er, VIII, 6;</w:t>
      </w:r>
    </w:p>
    <w:p>
      <w:pPr>
        <w:pStyle w:val="Normal"/>
        <w:rPr/>
      </w:pPr>
      <w:r>
        <w:rPr/>
        <w:t>Vu le Code de Démocratie Locale et de la Décentralisation et notamment les articles L1122-20, L1124-40, L 1321-1,9° et L3111-1 à L3162-3;</w:t>
      </w:r>
    </w:p>
    <w:p>
      <w:pPr>
        <w:pStyle w:val="Normal"/>
        <w:rPr/>
      </w:pPr>
      <w:r>
        <w:rPr/>
        <w:t>Vu la circulaire ministérielle du 12 décembre 2014 relative aux pièces justificatives se rattachant aux actes adoptés par les établissements chargés de la gestion du temporel des cultes reconnus ;    </w:t>
      </w:r>
      <w:r>
        <w:rPr>
          <w:rStyle w:val="KGo1pod"/>
        </w:rPr>
        <w:t>         </w:t>
      </w:r>
    </w:p>
    <w:p>
      <w:pPr>
        <w:pStyle w:val="Normal"/>
        <w:rPr/>
      </w:pPr>
      <w:r>
        <w:rPr/>
        <w:t>Vu la délibération du 17 mars 2026 accompagnée de toutes les pièces justificatives suivant la circulaire ministérielle susvisée, reçue en date du 26 mars 2026 par laquelle le Conseil de la fabrique d’église Saint Amand de Russeignies a décidé d’arrêter le compte de l’exercice 2025 ;</w:t>
      </w:r>
    </w:p>
    <w:p>
      <w:pPr>
        <w:pStyle w:val="Normal"/>
        <w:rPr/>
      </w:pPr>
      <w:r>
        <w:rPr/>
        <w:t>Vu l’envoi simultané de la délibération susvisée, accompagnée de toutes les pièces justificatives renseignées dans la circulaire à l’organe représentatif du culte ;           </w:t>
      </w:r>
    </w:p>
    <w:p>
      <w:pPr>
        <w:pStyle w:val="Normal"/>
        <w:rPr/>
      </w:pPr>
      <w:r>
        <w:rPr/>
        <w:t>Vu la décision réceptionnée en date du 27 mars 2026 du chef diocésain approuvant sans remarque le compte de l’exercice 2025 de la fabrique d’église Saint Amand de Russeignies endéans le délai de 20 jours lui prescrit pour ce faire, décision réputée favorable;</w:t>
      </w:r>
    </w:p>
    <w:p>
      <w:pPr>
        <w:pStyle w:val="Normal"/>
        <w:rPr/>
      </w:pPr>
      <w:r>
        <w:rPr/>
        <w:t>Considérant que le compte précité a été contrôlé par Mr Coppens Rudy, Receveur Régional, qu'aucune remarque n'a été émise et que ce dernier répond au principe de sincérité budgétaire ; </w:t>
      </w:r>
    </w:p>
    <w:p>
      <w:pPr>
        <w:pStyle w:val="Normal"/>
        <w:rPr/>
      </w:pPr>
      <w:r>
        <w:rPr>
          <w:rStyle w:val="KGo1pod"/>
        </w:rPr>
        <w:t>ARRETE : à l'unanimité</w:t>
      </w:r>
    </w:p>
    <w:p>
      <w:pPr>
        <w:pStyle w:val="Normal"/>
        <w:rPr/>
      </w:pPr>
      <w:r>
        <w:rPr>
          <w:rStyle w:val="KGo1pod"/>
        </w:rPr>
        <w:t>Article premier :</w:t>
      </w:r>
      <w:r>
        <w:rPr/>
        <w:t xml:space="preserve"> le compte de l’exercice 2025 de la fabrique d’église Saint Amand de Russeignies, voté en séance du Conseil de la fabrique en date du 17 mars 2026 est approuvé comme suit :   </w:t>
      </w:r>
    </w:p>
    <w:p>
      <w:pPr>
        <w:pStyle w:val="Normal"/>
        <w:rPr/>
      </w:pPr>
      <w:r>
        <w:rPr/>
        <w:t> </w:t>
      </w:r>
    </w:p>
    <w:tbl>
      <w:tblPr>
        <w:tblW w:w="5000" w:type="pct"/>
        <w:jc w:val="left"/>
        <w:tblInd w:w="0" w:type="dxa"/>
        <w:tblLayout w:type="fixed"/>
        <w:tblCellMar>
          <w:top w:w="57" w:type="dxa"/>
          <w:left w:w="57" w:type="dxa"/>
          <w:bottom w:w="57" w:type="dxa"/>
          <w:right w:w="57" w:type="dxa"/>
        </w:tblCellMar>
      </w:tblPr>
      <w:tblGrid>
        <w:gridCol w:w="9406"/>
      </w:tblGrid>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                                                                            </w:t>
            </w:r>
          </w:p>
          <w:p>
            <w:pPr>
              <w:pStyle w:val="Tablecell"/>
              <w:rPr/>
            </w:pPr>
            <w:r>
              <w:rPr/>
              <w:t>                                                                          </w:t>
            </w:r>
            <w:r>
              <w:rPr/>
              <w:t>Montants approuvés</w:t>
            </w:r>
          </w:p>
          <w:p>
            <w:pPr>
              <w:pStyle w:val="Tablecell"/>
              <w:rPr/>
            </w:pPr>
            <w:r>
              <w:rPr/>
              <w:t>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ordinaires totales                                   11.648,40 €</w:t>
            </w:r>
          </w:p>
          <w:p>
            <w:pPr>
              <w:pStyle w:val="Tablecell"/>
              <w:rPr/>
            </w:pPr>
            <w:r>
              <w:rPr/>
              <w:t>dont supplément communal ordinaire          10.698,33 €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Recettes extraordinaires totales               10.279,15 €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arrêtées par l’Organe</w:t>
            </w:r>
          </w:p>
          <w:p>
            <w:pPr>
              <w:pStyle w:val="Tablecell"/>
              <w:rPr/>
            </w:pPr>
            <w:r>
              <w:rPr/>
              <w:t>représentatif agréé :                        3.347,45 €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ordinaires :                                           5.660,58 €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Dépenses extraordinaires :                                          0,00 €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dépenses :                 9.008,03 €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Total général des recettes :                 21.927,55 € </w:t>
            </w:r>
          </w:p>
        </w:tc>
      </w:tr>
      <w:tr>
        <w:trPr/>
        <w:tc>
          <w:tcPr>
            <w:tcW w:w="9406"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Excédent  :                                                          12.919,52 €</w:t>
            </w:r>
          </w:p>
        </w:tc>
      </w:tr>
    </w:tbl>
    <w:p>
      <w:pPr>
        <w:pStyle w:val="Normal"/>
        <w:rPr/>
      </w:pPr>
      <w:r>
        <w:rPr/>
        <w:t> </w:t>
      </w:r>
    </w:p>
    <w:p>
      <w:pPr>
        <w:pStyle w:val="Normal"/>
        <w:rPr/>
      </w:pPr>
      <w:r>
        <w:rPr>
          <w:rStyle w:val="KGo1pod"/>
        </w:rPr>
        <w:t xml:space="preserve">Article 2 : </w:t>
      </w:r>
      <w:r>
        <w:rPr/>
        <w:t>En application de l’article L3162-3 du Code de la Démocratie locale et de la décentralisation, un recours est ouvert à la fabrique d’Eglise et à l’organe représentatif du culte contre la présente décision devant le Gouverneur de la Province de Hainaut. Ce recours doit être introduit dans les 30 jours de la réception de la présence décision.</w:t>
      </w:r>
    </w:p>
    <w:p>
      <w:pPr>
        <w:pStyle w:val="Normal"/>
        <w:rPr/>
      </w:pPr>
      <w:r>
        <w:rPr>
          <w:rStyle w:val="KGo1pod"/>
        </w:rPr>
        <w:t>Article 3</w:t>
      </w:r>
      <w:r>
        <w:rPr/>
        <w:t> : Un recours en annulation est ouvert aux autres intéressés contre cette décision devant la section du contentieux administratif du Conseil d’Etat.</w:t>
      </w:r>
    </w:p>
    <w:p>
      <w:pPr>
        <w:pStyle w:val="Normal"/>
        <w:rPr/>
      </w:pPr>
      <w:r>
        <w:rPr/>
        <w:t>A cet effet, une requête en annulation datée et signée doit être adressée, par lettre recommandée à la poste, au Conseil d’Etat dans les 60 jours à dater du lendemain de la notification qui leur est faite par la présente ou introduite par voie électronique sur le site internet du Conseil d’Etat ;</w:t>
      </w:r>
    </w:p>
    <w:p>
      <w:pPr>
        <w:pStyle w:val="Normal"/>
        <w:rPr/>
      </w:pPr>
      <w:r>
        <w:rPr>
          <w:rStyle w:val="KGo1pod"/>
        </w:rPr>
        <w:t>Article 4</w:t>
      </w:r>
      <w:r>
        <w:rPr/>
        <w:t> : Conformément à l’article L 3115-2 du Code de la Démocratie Locale et de la Décentralisation, la présente décision est publiée par la voie d’une affiche ;</w:t>
      </w:r>
    </w:p>
    <w:p>
      <w:pPr>
        <w:pStyle w:val="Normal"/>
        <w:rPr/>
      </w:pPr>
      <w:r>
        <w:rPr>
          <w:rStyle w:val="KGo1pod"/>
        </w:rPr>
        <w:t>Article  5</w:t>
      </w:r>
      <w:r>
        <w:rPr/>
        <w:t> : Conformément à l’article L 3115-1 du Code de la Démocratie Locale et de la Décentralisation, la présente décision est notifiée  à :</w:t>
      </w:r>
    </w:p>
    <w:p>
      <w:pPr>
        <w:pStyle w:val="Normal"/>
        <w:rPr/>
      </w:pPr>
      <w:r>
        <w:rPr/>
        <w:t>- Au Conseil de la Fabrique d’Eglise de Russeignies</w:t>
      </w:r>
    </w:p>
    <w:p>
      <w:pPr>
        <w:pStyle w:val="Normal"/>
        <w:rPr/>
      </w:pPr>
      <w:r>
        <w:rPr/>
        <w:t>- A l’organe représentatif de la Fabrique d’Eglise de Russeignies</w:t>
      </w:r>
    </w:p>
    <w:p>
      <w:pPr>
        <w:pStyle w:val="Normal"/>
        <w:rPr/>
      </w:pPr>
      <w:r>
        <w:rPr/>
        <w:t>- Au Receveur Régional</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N°4 : Redevance Inscriptions – Pairi Daiza - Plaines de Jeux Communales - Exercice 2026 ; décision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la Constitution, les articles 41, 162 et 173 ;</w:t>
      </w:r>
    </w:p>
    <w:p>
      <w:pPr>
        <w:pStyle w:val="Normal"/>
        <w:rPr/>
      </w:pPr>
      <w:r>
        <w:rPr/>
        <w:t>Vu le code de la Démocratie Locale et de la Décentralisation et notamment les articles L1122-30,L1232-32, L1133-1 et 2, L3131-1§1er 3° et L3132-1 ;</w:t>
      </w:r>
    </w:p>
    <w:p>
      <w:pPr>
        <w:pStyle w:val="Normal"/>
        <w:rPr/>
      </w:pPr>
      <w:r>
        <w:rPr/>
        <w:t>Vu les recommandations émises par la circulaire du 11 septembre 2025 relative à l’élaboration des budgets des communes de la Région wallonne, pour l’année 2026 ;</w:t>
      </w:r>
    </w:p>
    <w:p>
      <w:pPr>
        <w:pStyle w:val="Normal"/>
        <w:rPr/>
      </w:pPr>
      <w:r>
        <w:rPr/>
        <w:t>Vu les dispositions légales et règlementaires en vigueur en matière d'établissement et de recouvrement des redevances communales ;</w:t>
      </w:r>
    </w:p>
    <w:p>
      <w:pPr>
        <w:pStyle w:val="Normal"/>
        <w:rPr/>
      </w:pPr>
      <w:r>
        <w:rPr/>
        <w:t>Considérant que dans le cadre des activités lors des plaines de jeux communales durant le mois de juillet, août, une sortie à Pairi Daiza est prévue pour les participants ;</w:t>
      </w:r>
    </w:p>
    <w:p>
      <w:pPr>
        <w:pStyle w:val="Normal"/>
        <w:rPr/>
      </w:pPr>
      <w:r>
        <w:rPr/>
        <w:t>Considérant qu’une inscription sera demandée à chaque participant et que dès lors, il y a lieu de fixer le montant de cette inscription ;</w:t>
      </w:r>
    </w:p>
    <w:p>
      <w:pPr>
        <w:pStyle w:val="Normal"/>
        <w:rPr/>
      </w:pPr>
      <w:r>
        <w:rPr/>
        <w:t>DECIDE : à l'unanimité</w:t>
      </w:r>
    </w:p>
    <w:p>
      <w:pPr>
        <w:pStyle w:val="Normal"/>
        <w:rPr/>
      </w:pPr>
      <w:r>
        <w:rPr>
          <w:rStyle w:val="KGo3pod"/>
        </w:rPr>
        <w:t>Article premier</w:t>
      </w:r>
      <w:r>
        <w:rPr/>
        <w:t xml:space="preserve"> : d’établir une redevance dans le cadre de l’organisation d'une journée à Pairi Daiza lors des plaines de jeux communales ;</w:t>
      </w:r>
    </w:p>
    <w:p>
      <w:pPr>
        <w:pStyle w:val="Normal"/>
        <w:rPr/>
      </w:pPr>
      <w:r>
        <w:rPr>
          <w:rStyle w:val="KGo3pod"/>
        </w:rPr>
        <w:t>Article 2 </w:t>
      </w:r>
      <w:r>
        <w:rPr/>
        <w:t>: La redevance est due par la personne qui inscrit l'enfant à l'activité ;</w:t>
      </w:r>
    </w:p>
    <w:p>
      <w:pPr>
        <w:pStyle w:val="Normal"/>
        <w:rPr/>
      </w:pPr>
      <w:r>
        <w:rPr>
          <w:rStyle w:val="KGo3pod"/>
        </w:rPr>
        <w:t>Article 3</w:t>
      </w:r>
      <w:r>
        <w:rPr/>
        <w:t> : Le montant de la redevance est fixé à 10 euros couvrant le trajet en bus ainsi que l'entrée au parc animalier ;</w:t>
      </w:r>
    </w:p>
    <w:p>
      <w:pPr>
        <w:pStyle w:val="Normal"/>
        <w:rPr/>
      </w:pPr>
      <w:r>
        <w:rPr>
          <w:rStyle w:val="KGo3pod"/>
        </w:rPr>
        <w:t>Article 4</w:t>
      </w:r>
      <w:r>
        <w:rPr/>
        <w:t> : La redevance est payable soit sur le compte communal soit au comptant au responsable des plaines de jeux ;</w:t>
      </w:r>
    </w:p>
    <w:p>
      <w:pPr>
        <w:pStyle w:val="Normal"/>
        <w:rPr/>
      </w:pPr>
      <w:r>
        <w:rPr>
          <w:rStyle w:val="KGo3pod"/>
        </w:rPr>
        <w:t>Article 5</w:t>
      </w:r>
      <w:r>
        <w:rPr/>
        <w:t> : Le recouvrement s’effectuera selon les règles de l’article L1124-40 §1</w:t>
      </w:r>
      <w:r>
        <w:rPr>
          <w:rStyle w:val="KGo4pod"/>
        </w:rPr>
        <w:t>er</w:t>
      </w:r>
      <w:r>
        <w:rPr/>
        <w:t> du Code de la Démocratie locale et de la Décentralisation.</w:t>
      </w:r>
    </w:p>
    <w:p>
      <w:pPr>
        <w:pStyle w:val="Normal"/>
        <w:rPr/>
      </w:pPr>
      <w:r>
        <w:rPr>
          <w:rStyle w:val="KGo3pod"/>
        </w:rPr>
        <w:t>Article 6 </w:t>
      </w:r>
      <w:r>
        <w:rPr>
          <w:rStyle w:val="KGo5pod"/>
        </w:rPr>
        <w:t>: </w:t>
      </w:r>
      <w:r>
        <w:rPr/>
        <w:t>Le traitement de données à caractère personnel nécessaire à la mise en œuvre du présent règlement se fera suivant les règles suivantes :</w:t>
      </w:r>
    </w:p>
    <w:p>
      <w:pPr>
        <w:pStyle w:val="Normal"/>
        <w:rPr/>
      </w:pPr>
      <w:r>
        <w:rPr/>
        <w:t>-    Responsable de traitement : la Commune de Mont-de-l'Enclus ;</w:t>
      </w:r>
    </w:p>
    <w:p>
      <w:pPr>
        <w:pStyle w:val="Normal"/>
        <w:rPr/>
      </w:pPr>
      <w:r>
        <w:rPr/>
        <w:t>-    Finalité du traitement : établissement et recouvrement de la redevance ;</w:t>
      </w:r>
    </w:p>
    <w:p>
      <w:pPr>
        <w:pStyle w:val="Normal"/>
        <w:rPr/>
      </w:pPr>
      <w:r>
        <w:rPr/>
        <w:t>-    Catégorie de données : données d’identification ;</w:t>
      </w:r>
    </w:p>
    <w:p>
      <w:pPr>
        <w:pStyle w:val="Normal"/>
        <w:rPr/>
      </w:pPr>
      <w:r>
        <w:rPr/>
        <w:t>-    Durée de conservation : la Commune s’engage à conserver les données pour un délai de10 ans et à les supprimer par la suite ou à les transférer aux archives de l’Etat ;</w:t>
      </w:r>
    </w:p>
    <w:p>
      <w:pPr>
        <w:pStyle w:val="Normal"/>
        <w:rPr/>
      </w:pPr>
      <w:r>
        <w:rPr/>
        <w:t>-    Méthode de collecte : recensement effectué par l'Administration communale ;</w:t>
      </w:r>
    </w:p>
    <w:p>
      <w:pPr>
        <w:pStyle w:val="Normal"/>
        <w:rPr/>
      </w:pPr>
      <w:r>
        <w:rPr/>
        <w:t>-    Communication des données : les données ne seront communiquées qu’à des tiers autorisés par où en vertu de la loi, notamment en application de l’article 327 du CIR92, ou à des sous-traitants de la Commune.</w:t>
      </w:r>
    </w:p>
    <w:p>
      <w:pPr>
        <w:pStyle w:val="Normal"/>
        <w:rPr/>
      </w:pPr>
      <w:r>
        <w:rPr>
          <w:rStyle w:val="KGo3pod"/>
        </w:rPr>
        <w:t>Article 7</w:t>
      </w:r>
      <w:r>
        <w:rPr>
          <w:rStyle w:val="KGo5pod"/>
        </w:rPr>
        <w:t> : </w:t>
      </w:r>
      <w:r>
        <w:rPr/>
        <w:t>Le présent règlement sera transmis au Gouvernement wallon conformément aux articles L3131-1 et suivants du Code de la Démocratie Locale et de la Décentralisation pour exercice de la tutelle spéciale d’approbation.</w:t>
      </w:r>
    </w:p>
    <w:p>
      <w:pPr>
        <w:pStyle w:val="Normal"/>
        <w:rPr/>
      </w:pPr>
      <w:r>
        <w:rPr>
          <w:rStyle w:val="KGo3pod"/>
        </w:rPr>
        <w:t>Article 8</w:t>
      </w:r>
      <w:r>
        <w:rPr>
          <w:rStyle w:val="KGo5pod"/>
        </w:rPr>
        <w:t> : </w:t>
      </w:r>
      <w:r>
        <w:rPr/>
        <w:t>Le présent règlement entrera en vigueur après accomplissement des formalités de la publication faites conformément aux articles L1133-1 et 2 du Code de la Démocratie Locale et de la Décentralisation.</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N°5 : Fête des voisins 2026 - octroi de subsides ; décision</w:t>
      </w:r>
    </w:p>
    <w:p>
      <w:pPr>
        <w:pStyle w:val="Normal"/>
        <w:tabs>
          <w:tab w:val="clear" w:pos="709"/>
        </w:tabs>
        <w:spacing w:before="0" w:after="0"/>
        <w:jc w:val="both"/>
        <w:rPr>
          <w:rFonts w:ascii="Calibri" w:hAnsi="Calibri"/>
        </w:rPr>
      </w:pPr>
      <w:r>
        <w:rPr>
          <w:rFonts w:ascii="Calibri" w:hAnsi="Calibri"/>
        </w:rPr>
      </w:r>
    </w:p>
    <w:p>
      <w:pPr>
        <w:pStyle w:val="Normal"/>
        <w:rPr/>
      </w:pPr>
      <w:r>
        <w:rPr>
          <w:rStyle w:val="KGo1pod"/>
        </w:rPr>
        <w:t>Monsieur Vanhonacker </w:t>
      </w:r>
    </w:p>
    <w:p>
      <w:pPr>
        <w:pStyle w:val="Normal"/>
        <w:rPr/>
      </w:pPr>
      <w:r>
        <w:rPr/>
        <w:t>Je souhaite souligner qu'on apprécie vivement l’initiative relative au soutien des fêtes de voisins organisées en 2026, dans la mesure où elle contribue au renforcement de la cohésion sociale au sein de notre commune</w:t>
      </w:r>
    </w:p>
    <w:p>
      <w:pPr>
        <w:pStyle w:val="Normal"/>
        <w:rPr/>
      </w:pPr>
      <w:r>
        <w:rPr/>
        <w:t>Néanmoins, je souhaiterais poser quelques questions complémentaires :</w:t>
      </w:r>
    </w:p>
    <w:p>
      <w:pPr>
        <w:pStyle w:val="PodBulletItem"/>
        <w:numPr>
          <w:ilvl w:val="0"/>
          <w:numId w:val="3"/>
        </w:numPr>
        <w:tabs>
          <w:tab w:val="clear" w:pos="709"/>
          <w:tab w:val="left" w:pos="0" w:leader="none"/>
        </w:tabs>
        <w:ind w:left="922" w:hanging="461"/>
        <w:rPr/>
      </w:pPr>
      <w:r>
        <w:rPr/>
        <w:t>Les dates de ces fêtes sont-elles déjà connues ? Si oui, nous souhaiterions en être informé.</w:t>
      </w:r>
    </w:p>
    <w:p>
      <w:pPr>
        <w:pStyle w:val="PodBulletItem"/>
        <w:numPr>
          <w:ilvl w:val="0"/>
          <w:numId w:val="3"/>
        </w:numPr>
        <w:tabs>
          <w:tab w:val="clear" w:pos="709"/>
          <w:tab w:val="left" w:pos="0" w:leader="none"/>
        </w:tabs>
        <w:ind w:left="922" w:hanging="461"/>
        <w:rPr/>
      </w:pPr>
      <w:r>
        <w:rPr/>
        <w:t>Pourrait-on apporter des précisions quant à l’utilisation des subsides accordés ? À quelles fins ces moyens peuvent-ils concrètement être affectés ?</w:t>
      </w:r>
    </w:p>
    <w:p>
      <w:pPr>
        <w:pStyle w:val="PodBulletItem"/>
        <w:numPr>
          <w:ilvl w:val="0"/>
          <w:numId w:val="3"/>
        </w:numPr>
        <w:tabs>
          <w:tab w:val="clear" w:pos="709"/>
          <w:tab w:val="left" w:pos="0" w:leader="none"/>
        </w:tabs>
        <w:ind w:left="922" w:hanging="461"/>
        <w:rPr/>
      </w:pPr>
      <w:r>
        <w:rPr/>
        <w:t>En ce qui concerne les notes de frais à fournir : quelles dépenses entrent en ligne de compte pour un remboursement ?</w:t>
      </w:r>
    </w:p>
    <w:p>
      <w:pPr>
        <w:pStyle w:val="PodBulletItem"/>
        <w:numPr>
          <w:ilvl w:val="0"/>
          <w:numId w:val="3"/>
        </w:numPr>
        <w:tabs>
          <w:tab w:val="clear" w:pos="709"/>
          <w:tab w:val="left" w:pos="0" w:leader="none"/>
        </w:tabs>
        <w:ind w:left="922" w:hanging="461"/>
        <w:rPr/>
      </w:pPr>
      <w:r>
        <w:rPr/>
        <w:t>Il est mentionné que tout doit être conforme à la réglementation en vigueur. Pourrait-on préciser où cette réglementation peut être consultée ?</w:t>
      </w:r>
    </w:p>
    <w:p>
      <w:pPr>
        <w:pStyle w:val="PodBulletItem"/>
        <w:numPr>
          <w:ilvl w:val="0"/>
          <w:numId w:val="3"/>
        </w:numPr>
        <w:tabs>
          <w:tab w:val="clear" w:pos="709"/>
          <w:tab w:val="left" w:pos="0" w:leader="none"/>
        </w:tabs>
        <w:ind w:left="922" w:hanging="461"/>
        <w:rPr/>
      </w:pPr>
      <w:r>
        <w:rPr/>
        <w:t>Par ailleurs, je constate que deux montants de subvention distincts sont octroyés. Pourrait-on préciser les critères sur lesquels repose cette distinction ? Que faut-il concrètement faire pour pouvoir bénéficier du montant le plus élevé, et sur quelle base la décision est-elle prise ?</w:t>
      </w:r>
    </w:p>
    <w:p>
      <w:pPr>
        <w:pStyle w:val="PodBulletItem"/>
        <w:numPr>
          <w:ilvl w:val="0"/>
          <w:numId w:val="3"/>
        </w:numPr>
        <w:tabs>
          <w:tab w:val="clear" w:pos="709"/>
          <w:tab w:val="left" w:pos="0" w:leader="none"/>
        </w:tabs>
        <w:ind w:left="922" w:hanging="461"/>
        <w:rPr/>
      </w:pPr>
      <w:r>
        <w:rPr/>
        <w:t>Je remarque également que lorsque je parle aux habitants de l’existence d’une fête des voisins, il y a encore des citoyens qui ne sont pas encore au courant. Serait-il possible de diffuser à nouveau cette information via les différents canaux, en précisant clairement à qui ils peuvent s’adresser et en quoi cela consiste exactement ?</w:t>
      </w:r>
    </w:p>
    <w:p>
      <w:pPr>
        <w:pStyle w:val="Normal"/>
        <w:rPr/>
      </w:pPr>
      <w:r>
        <w:rPr/>
        <w:t>Je vous remercie d’avance pour vos réponses et les éclaircissements apportés.</w:t>
      </w:r>
    </w:p>
    <w:p>
      <w:pPr>
        <w:pStyle w:val="Normal"/>
        <w:rPr/>
      </w:pPr>
      <w:r>
        <w:rPr>
          <w:rStyle w:val="KGo1pod"/>
        </w:rPr>
        <w:t>Mr le Bourgmestre </w:t>
      </w:r>
    </w:p>
    <w:p>
      <w:pPr>
        <w:pStyle w:val="Normal"/>
        <w:rPr/>
      </w:pPr>
      <w:r>
        <w:rPr/>
        <w:t>Voilà, je vais répondre. Tout d'abord, je suis content que vous approuviez les fêtes des voisins parce qu'il fut un temps où l'opposition n'appréciait pas cela. </w:t>
      </w:r>
    </w:p>
    <w:p>
      <w:pPr>
        <w:pStyle w:val="Normal"/>
        <w:rPr/>
      </w:pPr>
      <w:r>
        <w:rPr/>
        <w:t>Au niveau des dates, on a différentes dates qui sont proposées. Si vous voulez connaître les dates, vous pouvez les avoir. Néanmoins, je précise que les différents comités invitent qui ils veulent. Ce n'est pas l'entrée libre. Donc je préfère être très clair à ce niveau-là.</w:t>
      </w:r>
    </w:p>
    <w:p>
      <w:pPr>
        <w:pStyle w:val="Normal"/>
        <w:rPr/>
      </w:pPr>
      <w:r>
        <w:rPr/>
        <w:t>Alors, concernant les frais, donc en fait, la subvention qui est donnée varie de 400 € à 650 € et est payable dès le moment où on est en possession de factures qui prouvent qu'il y a des coûts pour le montant demandé.</w:t>
      </w:r>
    </w:p>
    <w:p>
      <w:pPr>
        <w:pStyle w:val="Normal"/>
        <w:rPr/>
      </w:pPr>
      <w:r>
        <w:rPr/>
        <w:t>Évidemment, s'ils ont des frais moins élevés que les 400 €, on ne va pas leur donner 400 € s'ils ont dépensé uniquement 250 €. Donc, qu'est-ce que visent ces frais ? C'est essentiellement tous les frais liés à l'organisation, il y a des gens qui font appel à des châteaux gonflables, un dj, un traiteur, etc. Donc ce sont tous les frais liés à l'organisation de l'événement, bien entendu limité au niveau intervention de la commune, 400 € pour les fêtes des voisins. Le montant pour le Comité de Russeignies est tout simplement plus élevé, car la fête concerne tout le village.</w:t>
      </w:r>
    </w:p>
    <w:p>
      <w:pPr>
        <w:pStyle w:val="Normal"/>
        <w:rPr/>
      </w:pPr>
      <w:r>
        <w:rPr/>
        <w:t>Donc voilà, je crois que maintenant, la fête des voisins, il y a plus d'une dizaine d'années qu'on l'organise, et je vois que chaque année, il y a quand même un engouement. Alors concernant la publication, il faut quand même savoir que chaque année, dans l'info communale, on fait référence à la publication. Et d'ailleurs, il y a même les photos qui sont reprises, les différentes fêtes de voisins dans les différents quartiers, puisqu'on demande aux organisateurs de nous fournir des photos </w:t>
      </w:r>
    </w:p>
    <w:p>
      <w:pPr>
        <w:pStyle w:val="Normal"/>
        <w:rPr/>
      </w:pPr>
      <w:r>
        <w:rPr>
          <w:rStyle w:val="KGo1pod"/>
        </w:rPr>
        <w:t>Monsieur Vanhonacker </w:t>
      </w:r>
    </w:p>
    <w:p>
      <w:pPr>
        <w:pStyle w:val="Normal"/>
        <w:rPr/>
      </w:pPr>
      <w:r>
        <w:rPr/>
        <w:t>Je ne suis pas tout à fait content avec la réponse que vous m'avez donnée, que nous devons être invité parce que c'est quand même avec de l'argent, des citoyens, de tous les citoyens. </w:t>
      </w:r>
    </w:p>
    <w:p>
      <w:pPr>
        <w:pStyle w:val="Normal"/>
        <w:rPr/>
      </w:pPr>
      <w:r>
        <w:rPr>
          <w:rStyle w:val="KGo1pod"/>
        </w:rPr>
        <w:t>Mr le Bourgmestre </w:t>
      </w:r>
    </w:p>
    <w:p>
      <w:pPr>
        <w:pStyle w:val="Normal"/>
        <w:rPr/>
      </w:pPr>
      <w:r>
        <w:rPr/>
        <w:t>Écoutez, écoutez, je ne vais pas y aller si je ne suis pas invité. Parce que vous, vous avez parfois l'habitude de venir sans être invité. Si vous ne recevez pas une invitation, téléphonez peut-être au comité pour recevoir une invitation. Vous aurez peut-être une invitation. Vous savez, nous ne sommes pas invités à tout de notre côté. </w:t>
      </w:r>
    </w:p>
    <w:p>
      <w:pPr>
        <w:pStyle w:val="Normal"/>
        <w:rPr/>
      </w:pPr>
      <w:r>
        <w:rPr>
          <w:rStyle w:val="KGo1pod"/>
        </w:rPr>
        <w:t>Mme Verschuere</w:t>
      </w:r>
    </w:p>
    <w:p>
      <w:pPr>
        <w:pStyle w:val="Normal"/>
        <w:rPr/>
      </w:pPr>
      <w:r>
        <w:rPr/>
        <w:t>Au niveau communication, nous, on ne communique pas sur les tables des fêtes des voisins. C'est chaque comité qui envoie une invitation en précisant sa date.</w:t>
      </w:r>
    </w:p>
    <w:p>
      <w:pPr>
        <w:pStyle w:val="Normal"/>
        <w:rPr/>
      </w:pPr>
      <w:r>
        <w:rPr>
          <w:rStyle w:val="KGo1pod"/>
        </w:rPr>
        <w:t>Mr le Bourgmestre </w:t>
      </w:r>
    </w:p>
    <w:p>
      <w:pPr>
        <w:pStyle w:val="Normal"/>
        <w:rPr/>
      </w:pPr>
      <w:r>
        <w:rPr/>
        <w:t>En fait, on est au courant de la date parce que bien souvent, les fêtes des voisins, ils demandent une logistique, des tables, des chaises qu'on leur fournit. Donc bien souvent, la fête, c'est le week-end donc le vendredi, les ouvriers vont apporter le matériel demandé et le lundi matin ils vont rechercher le matériel.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et notamment les articles L1122-30 et L3331-1 à L3331-8 ;</w:t>
      </w:r>
    </w:p>
    <w:p>
      <w:pPr>
        <w:pStyle w:val="Normal"/>
        <w:rPr/>
      </w:pPr>
      <w:r>
        <w:rPr/>
        <w:t>Considérant la circulaire ministérielle du 30 mai 2013 relative à l’octroi des subventions par les pouvoirs locaux ;</w:t>
      </w:r>
    </w:p>
    <w:p>
      <w:pPr>
        <w:pStyle w:val="Normal"/>
        <w:rPr/>
      </w:pPr>
      <w:r>
        <w:rPr/>
        <w:t>Vu le règlement sur la nouvelle comptabilité communale ;</w:t>
      </w:r>
    </w:p>
    <w:p>
      <w:pPr>
        <w:pStyle w:val="Normal"/>
        <w:rPr/>
      </w:pPr>
      <w:r>
        <w:rPr/>
        <w:t>Vu le budget communal de l’exercice 2026 arrêté en séance du Conseil Communal du 03 mars 2026 ;</w:t>
      </w:r>
    </w:p>
    <w:p>
      <w:pPr>
        <w:pStyle w:val="Normal"/>
        <w:rPr/>
      </w:pPr>
      <w:r>
        <w:rPr/>
        <w:t>Attendu que dans un souci de convivialité, de rencontres entre enclusiens, il serait intéressant comme les années antérieures d’organiser des fêtes de voisins dans différents quartiers de l’entité ;</w:t>
      </w:r>
    </w:p>
    <w:p>
      <w:pPr>
        <w:pStyle w:val="Normal"/>
        <w:rPr/>
      </w:pPr>
      <w:r>
        <w:rPr/>
        <w:t>Attendu qu’il y a lieu d’aider les comités qui ont sollicité l’aide financière et matérielle de la commune ;</w:t>
      </w:r>
    </w:p>
    <w:p>
      <w:pPr>
        <w:pStyle w:val="Normal"/>
        <w:rPr/>
      </w:pPr>
      <w:r>
        <w:rPr/>
        <w:t>Considérant les obligations résultant des articles L3331-6 et L3331-8, par. 1er, 1° du Code de la démocratie locale et de la décentralisation, à savoir l'obligation du bénéficiaire d’utiliser la subvention aux fins pour lesquelles elle a été octroyée, d’attester leur utilisation au moyen des justifications exigées et, le cas échéant, de respecter les conditions d’utilisation particulières imposées par le dispensateur sous peine de restitution) ;</w:t>
      </w:r>
    </w:p>
    <w:p>
      <w:pPr>
        <w:pStyle w:val="Normal"/>
        <w:rPr/>
      </w:pPr>
      <w:r>
        <w:rPr/>
        <w:t>Vu les subventions proposées pour les différents comités de quartier ; </w:t>
      </w:r>
    </w:p>
    <w:p>
      <w:pPr>
        <w:pStyle w:val="Normal"/>
        <w:rPr/>
      </w:pPr>
      <w:r>
        <w:rPr>
          <w:rStyle w:val="KGo1pod"/>
        </w:rPr>
        <w:t>DECIDE : à l'unanimité</w:t>
      </w:r>
    </w:p>
    <w:p>
      <w:pPr>
        <w:pStyle w:val="Normal"/>
        <w:rPr/>
      </w:pPr>
      <w:r>
        <w:rPr/>
        <w:t> </w:t>
      </w:r>
    </w:p>
    <w:p>
      <w:pPr>
        <w:pStyle w:val="Normal"/>
        <w:rPr/>
      </w:pPr>
      <w:r>
        <w:rPr>
          <w:rStyle w:val="KGo6pod"/>
        </w:rPr>
        <w:t>Article 1er</w:t>
      </w:r>
      <w:r>
        <w:rPr/>
        <w:t> : D’octroyer des subsides communaux aux comités inscrits ci-dessous pour l’exercice 2026 et dont le montant devra obligatoirement être utilisé aux fins d'organisation des festivités à savoir :</w:t>
      </w:r>
    </w:p>
    <w:tbl>
      <w:tblPr>
        <w:tblW w:w="5000" w:type="pct"/>
        <w:jc w:val="left"/>
        <w:tblInd w:w="0" w:type="dxa"/>
        <w:tblLayout w:type="fixed"/>
        <w:tblCellMar>
          <w:top w:w="0" w:type="dxa"/>
          <w:left w:w="0" w:type="dxa"/>
          <w:bottom w:w="0" w:type="dxa"/>
          <w:right w:w="0" w:type="dxa"/>
        </w:tblCellMar>
      </w:tblPr>
      <w:tblGrid>
        <w:gridCol w:w="2142"/>
        <w:gridCol w:w="5715"/>
        <w:gridCol w:w="1549"/>
      </w:tblGrid>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ARTICLES</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COMITES</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MONTANTS</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VERTBREUCQ - AMOUGIES</w:t>
            </w:r>
            <w:r>
              <w:rPr/>
              <w:t> </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RUE D’ANSEROEUL - AMOUGIES</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LABROYE – RUSSEIGNIES </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650€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PLACE D’ANSEROEUL - ANSEROEUL :</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HORLITIN - AMOUGIES :</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DUCQUEGNIES – ANSEROEUL :</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w:t>
            </w:r>
          </w:p>
        </w:tc>
      </w:tr>
      <w:tr>
        <w:trPr/>
        <w:tc>
          <w:tcPr>
            <w:tcW w:w="2142"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76301/33202</w:t>
            </w:r>
          </w:p>
        </w:tc>
        <w:tc>
          <w:tcPr>
            <w:tcW w:w="5715"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rStyle w:val="KGo1pod"/>
              </w:rPr>
              <w:t>Comité Rue DES CROISONS - AMOUGIES</w:t>
            </w:r>
          </w:p>
          <w:p>
            <w:pPr>
              <w:pStyle w:val="Tablecell"/>
              <w:rPr/>
            </w:pPr>
            <w:r>
              <w:rPr/>
              <w:t> </w:t>
            </w:r>
          </w:p>
        </w:tc>
        <w:tc>
          <w:tcPr>
            <w:tcW w:w="1549" w:type="dxa"/>
            <w:tcBorders>
              <w:top w:val="single" w:sz="2" w:space="0" w:color="000000"/>
              <w:left w:val="single" w:sz="2" w:space="0" w:color="000000"/>
              <w:bottom w:val="single" w:sz="2" w:space="0" w:color="000000"/>
              <w:right w:val="single" w:sz="2" w:space="0" w:color="000000"/>
            </w:tcBorders>
            <w:vAlign w:val="center"/>
          </w:tcPr>
          <w:p>
            <w:pPr>
              <w:pStyle w:val="Tablecell"/>
              <w:rPr/>
            </w:pPr>
            <w:r>
              <w:rPr/>
              <w:t>400 €</w:t>
            </w:r>
          </w:p>
        </w:tc>
      </w:tr>
    </w:tbl>
    <w:p>
      <w:pPr>
        <w:pStyle w:val="Normal"/>
        <w:rPr/>
      </w:pPr>
      <w:r>
        <w:rPr/>
        <w:t> </w:t>
      </w:r>
    </w:p>
    <w:p>
      <w:pPr>
        <w:pStyle w:val="Normal"/>
        <w:rPr/>
      </w:pPr>
      <w:r>
        <w:rPr>
          <w:rStyle w:val="KGo6pod"/>
        </w:rPr>
        <w:t>Article 2</w:t>
      </w:r>
      <w:r>
        <w:rPr/>
        <w:t> : Les comités subsidiés transmettront à l’administration communale une déclaration justifiant l’emploi de la subvention accordée. Pour rappel, les comités doivent être constitués de 3 citoyens enclusiens minimum (hors mandataires politiques).</w:t>
      </w:r>
    </w:p>
    <w:p>
      <w:pPr>
        <w:pStyle w:val="Normal"/>
        <w:rPr/>
      </w:pPr>
      <w:r>
        <w:rPr>
          <w:rStyle w:val="KGo6pod"/>
        </w:rPr>
        <w:t>Article 3</w:t>
      </w:r>
      <w:r>
        <w:rPr/>
        <w:t> : La liquidation de la subvention interviendra après réception de la déclaration visée à l’article 2.</w:t>
      </w:r>
    </w:p>
    <w:p>
      <w:pPr>
        <w:pStyle w:val="Normal"/>
        <w:rPr/>
      </w:pPr>
      <w:r>
        <w:rPr>
          <w:rStyle w:val="KGo6pod"/>
        </w:rPr>
        <w:t>Art.4</w:t>
      </w:r>
      <w:r>
        <w:rPr>
          <w:rStyle w:val="KGo1pod"/>
        </w:rPr>
        <w:t> : </w:t>
      </w:r>
      <w:r>
        <w:rPr/>
        <w:t>sans préjudice des dispositions résolutoires auxquelles la subvention est soumise, le bénéficiaire est tenu de restituer la subvention dans les cas suivants :</w:t>
      </w:r>
    </w:p>
    <w:p>
      <w:pPr>
        <w:pStyle w:val="PodBulletItem"/>
        <w:numPr>
          <w:ilvl w:val="0"/>
          <w:numId w:val="4"/>
        </w:numPr>
        <w:tabs>
          <w:tab w:val="clear" w:pos="709"/>
          <w:tab w:val="left" w:pos="0" w:leader="none"/>
        </w:tabs>
        <w:ind w:left="922" w:hanging="461"/>
        <w:rPr/>
      </w:pPr>
      <w:r>
        <w:rPr/>
        <w:t>Lorsqu’il n’utilise pas la subvention aux fins pour lesquelles elle a été octroyée.</w:t>
      </w:r>
    </w:p>
    <w:p>
      <w:pPr>
        <w:pStyle w:val="PodBulletItem"/>
        <w:numPr>
          <w:ilvl w:val="0"/>
          <w:numId w:val="4"/>
        </w:numPr>
        <w:tabs>
          <w:tab w:val="clear" w:pos="709"/>
          <w:tab w:val="left" w:pos="0" w:leader="none"/>
        </w:tabs>
        <w:ind w:left="922" w:hanging="461"/>
        <w:rPr/>
      </w:pPr>
      <w:r>
        <w:rPr/>
        <w:t>Lorsqu’il ne fournit pas la justification demandée.</w:t>
      </w:r>
    </w:p>
    <w:p>
      <w:pPr>
        <w:pStyle w:val="PodBulletItem"/>
        <w:numPr>
          <w:ilvl w:val="0"/>
          <w:numId w:val="4"/>
        </w:numPr>
        <w:tabs>
          <w:tab w:val="clear" w:pos="709"/>
          <w:tab w:val="left" w:pos="0" w:leader="none"/>
        </w:tabs>
        <w:ind w:left="922" w:hanging="461"/>
        <w:rPr/>
      </w:pPr>
      <w:r>
        <w:rPr/>
        <w:t>Lorsqu’il s’oppose à l’exercice du contrôle par le Collège Communal.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N°6 : Convention relative à la création, à la maintenance et à la mise à jour des réseaux à points-noeuds cyclables et pédestres ; décision</w:t>
      </w:r>
    </w:p>
    <w:p>
      <w:pPr>
        <w:pStyle w:val="Normal"/>
        <w:tabs>
          <w:tab w:val="clear" w:pos="709"/>
        </w:tabs>
        <w:spacing w:before="0" w:after="0"/>
        <w:jc w:val="both"/>
        <w:rPr>
          <w:rFonts w:ascii="Calibri" w:hAnsi="Calibri"/>
        </w:rPr>
      </w:pPr>
      <w:r>
        <w:rPr>
          <w:rFonts w:ascii="Calibri" w:hAnsi="Calibri"/>
        </w:rPr>
      </w:r>
    </w:p>
    <w:p>
      <w:pPr>
        <w:pStyle w:val="Normal"/>
        <w:rPr/>
      </w:pPr>
      <w:r>
        <w:rPr>
          <w:rStyle w:val="KGo1pod"/>
        </w:rPr>
        <w:t>Monsieur le Bourgmestre</w:t>
      </w:r>
    </w:p>
    <w:p>
      <w:pPr>
        <w:pStyle w:val="Normal"/>
        <w:rPr/>
      </w:pPr>
      <w:r>
        <w:rPr/>
        <w:t>Il existe des points nœuds et parfois il y'a des actes vandalismes. Il y'a donc lieu de remettre la signalétique et c'est en ce sens qu'il faut signer la convention avec la province avec du Hainaut pour maintenir ces circuits.</w:t>
      </w:r>
    </w:p>
    <w:p>
      <w:pPr>
        <w:pStyle w:val="Normal"/>
        <w:rPr/>
      </w:pPr>
      <w:r>
        <w:rPr>
          <w:rStyle w:val="KGo1pod"/>
        </w:rPr>
        <w:t>Monsieur Vanhonacker</w:t>
      </w:r>
    </w:p>
    <w:p>
      <w:pPr>
        <w:pStyle w:val="Normal"/>
        <w:rPr/>
      </w:pPr>
      <w:r>
        <w:rPr/>
        <w:t>Qui est chargé, au sein de la commune, du suivi des travaux ?</w:t>
      </w:r>
    </w:p>
    <w:p>
      <w:pPr>
        <w:pStyle w:val="Normal"/>
        <w:rPr/>
      </w:pPr>
      <w:r>
        <w:rPr>
          <w:rStyle w:val="KGo1pod"/>
        </w:rPr>
        <w:t>Monsieur le Bourgmestre</w:t>
      </w:r>
    </w:p>
    <w:p>
      <w:pPr>
        <w:pStyle w:val="Normal"/>
        <w:rPr/>
      </w:pPr>
      <w:r>
        <w:rPr/>
        <w:t>C'est un employé mais on ne peut pas vous dire de qui il s'agit car nous sommes en séance publique.</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projet transfrontalier HENRIETTE (Interreg VI), mené en partenariat avec la Province de Hainaut, le Parc naturel des Plaines de l’Escaut et leurs partenaires français ;</w:t>
      </w:r>
    </w:p>
    <w:p>
      <w:pPr>
        <w:pStyle w:val="Normal"/>
        <w:rPr/>
      </w:pPr>
      <w:r>
        <w:rPr/>
        <w:t>Vu la volonté de développer et structurer l’offre de randonnée pédestre sur le territoire communal et transfrontalier ;</w:t>
      </w:r>
    </w:p>
    <w:p>
      <w:pPr>
        <w:pStyle w:val="Normal"/>
        <w:rPr/>
      </w:pPr>
      <w:r>
        <w:rPr/>
        <w:t>Vu le réseau point-nœud pédestre existant du Pays des Collines, mis en place sur le territoire communal ;</w:t>
      </w:r>
    </w:p>
    <w:p>
      <w:pPr>
        <w:pStyle w:val="Normal"/>
        <w:rPr/>
      </w:pPr>
      <w:r>
        <w:rPr/>
        <w:t>Considérant la nécessité d’optimiser ce réseau afin :</w:t>
      </w:r>
    </w:p>
    <w:p>
      <w:pPr>
        <w:pStyle w:val="PodBulletItem"/>
        <w:numPr>
          <w:ilvl w:val="0"/>
          <w:numId w:val="5"/>
        </w:numPr>
        <w:tabs>
          <w:tab w:val="clear" w:pos="709"/>
          <w:tab w:val="left" w:pos="0" w:leader="none"/>
        </w:tabs>
        <w:ind w:left="922" w:hanging="461"/>
        <w:rPr/>
      </w:pPr>
      <w:r>
        <w:rPr/>
        <w:t>d’améliorer la sécurité des usagers ;</w:t>
      </w:r>
    </w:p>
    <w:p>
      <w:pPr>
        <w:pStyle w:val="PodBulletItem"/>
        <w:numPr>
          <w:ilvl w:val="0"/>
          <w:numId w:val="5"/>
        </w:numPr>
        <w:tabs>
          <w:tab w:val="clear" w:pos="709"/>
          <w:tab w:val="left" w:pos="0" w:leader="none"/>
        </w:tabs>
        <w:ind w:left="922" w:hanging="461"/>
        <w:rPr/>
      </w:pPr>
      <w:r>
        <w:rPr/>
        <w:t>d’éviter certains conflits de voisinage ;</w:t>
      </w:r>
    </w:p>
    <w:p>
      <w:pPr>
        <w:pStyle w:val="PodBulletItem"/>
        <w:numPr>
          <w:ilvl w:val="0"/>
          <w:numId w:val="5"/>
        </w:numPr>
        <w:tabs>
          <w:tab w:val="clear" w:pos="709"/>
          <w:tab w:val="left" w:pos="0" w:leader="none"/>
        </w:tabs>
        <w:ind w:left="922" w:hanging="461"/>
        <w:rPr/>
      </w:pPr>
      <w:r>
        <w:rPr/>
        <w:t>de renforcer la cohérence des itinéraires ;</w:t>
      </w:r>
    </w:p>
    <w:p>
      <w:pPr>
        <w:pStyle w:val="PodBulletItem"/>
        <w:numPr>
          <w:ilvl w:val="0"/>
          <w:numId w:val="5"/>
        </w:numPr>
        <w:tabs>
          <w:tab w:val="clear" w:pos="709"/>
          <w:tab w:val="left" w:pos="0" w:leader="none"/>
        </w:tabs>
        <w:ind w:left="922" w:hanging="461"/>
        <w:rPr/>
      </w:pPr>
      <w:r>
        <w:rPr/>
        <w:t>d’intégrer de nouveaux points d’intérêt ;</w:t>
      </w:r>
    </w:p>
    <w:p>
      <w:pPr>
        <w:pStyle w:val="PodBulletItem"/>
        <w:numPr>
          <w:ilvl w:val="0"/>
          <w:numId w:val="5"/>
        </w:numPr>
        <w:tabs>
          <w:tab w:val="clear" w:pos="709"/>
          <w:tab w:val="left" w:pos="0" w:leader="none"/>
        </w:tabs>
        <w:ind w:left="922" w:hanging="461"/>
        <w:rPr/>
      </w:pPr>
      <w:r>
        <w:rPr/>
        <w:t>d’assurer les connexions avec les réseaux voisins (Ardennes flamandes, Brabant flamand, Parc naturel Scarpe-Escaut) ;</w:t>
      </w:r>
    </w:p>
    <w:p>
      <w:pPr>
        <w:pStyle w:val="Normal"/>
        <w:rPr/>
      </w:pPr>
      <w:r>
        <w:rPr/>
        <w:t>Considérant que les adaptations proposées sont mineures et n’altèrent pas l’économie générale du réseau ;</w:t>
      </w:r>
    </w:p>
    <w:p>
      <w:pPr>
        <w:pStyle w:val="Normal"/>
        <w:rPr/>
      </w:pPr>
      <w:r>
        <w:rPr/>
        <w:t>Considérant que ces modifications ont été présentées sur une carte annexée, les adaptations étant identifiées en rouge ;</w:t>
      </w:r>
    </w:p>
    <w:p>
      <w:pPr>
        <w:pStyle w:val="Normal"/>
        <w:rPr/>
      </w:pPr>
      <w:r>
        <w:rPr/>
        <w:t>Considérant les nouvelles normes de balisage imposées par la Région wallonne, prévoyant le remplacement du balisage actuel (bordeaux) par un balisage vert et bleu, afin d’assurer une meilleure lisibilité à l’échelle régionale ;</w:t>
      </w:r>
    </w:p>
    <w:p>
      <w:pPr>
        <w:pStyle w:val="Normal"/>
        <w:rPr/>
      </w:pPr>
      <w:r>
        <w:rPr/>
        <w:t>Considérant que la mise en conformité du réseau impliquera :</w:t>
      </w:r>
    </w:p>
    <w:p>
      <w:pPr>
        <w:pStyle w:val="PodBulletItem"/>
        <w:numPr>
          <w:ilvl w:val="0"/>
          <w:numId w:val="6"/>
        </w:numPr>
        <w:tabs>
          <w:tab w:val="clear" w:pos="709"/>
          <w:tab w:val="left" w:pos="0" w:leader="none"/>
        </w:tabs>
        <w:ind w:left="922" w:hanging="461"/>
        <w:rPr/>
      </w:pPr>
      <w:r>
        <w:rPr/>
        <w:t>le remplacement des balises point-nœud existantes ;</w:t>
      </w:r>
    </w:p>
    <w:p>
      <w:pPr>
        <w:pStyle w:val="PodBulletItem"/>
        <w:numPr>
          <w:ilvl w:val="0"/>
          <w:numId w:val="6"/>
        </w:numPr>
        <w:tabs>
          <w:tab w:val="clear" w:pos="709"/>
          <w:tab w:val="left" w:pos="0" w:leader="none"/>
        </w:tabs>
        <w:ind w:left="922" w:hanging="461"/>
        <w:rPr/>
      </w:pPr>
      <w:r>
        <w:rPr/>
        <w:t>la suppression des balisages des anciennes boucles pédestres devenues redondantes ;</w:t>
      </w:r>
    </w:p>
    <w:p>
      <w:pPr>
        <w:pStyle w:val="PodBulletItem"/>
        <w:numPr>
          <w:ilvl w:val="0"/>
          <w:numId w:val="6"/>
        </w:numPr>
        <w:tabs>
          <w:tab w:val="clear" w:pos="709"/>
          <w:tab w:val="left" w:pos="0" w:leader="none"/>
        </w:tabs>
        <w:ind w:left="922" w:hanging="461"/>
        <w:rPr/>
      </w:pPr>
      <w:r>
        <w:rPr/>
        <w:t>le maintien des balisages spécifiques pour les promenades thématiques ou artistiques ;</w:t>
      </w:r>
    </w:p>
    <w:p>
      <w:pPr>
        <w:pStyle w:val="PodBulletItem"/>
        <w:numPr>
          <w:ilvl w:val="0"/>
          <w:numId w:val="6"/>
        </w:numPr>
        <w:tabs>
          <w:tab w:val="clear" w:pos="709"/>
          <w:tab w:val="left" w:pos="0" w:leader="none"/>
        </w:tabs>
        <w:ind w:left="922" w:hanging="461"/>
        <w:rPr/>
      </w:pPr>
      <w:r>
        <w:rPr/>
        <w:t>la suppression des balisages équestres et VTT devenus obsolètes (sauf exceptions spécifiques) ;</w:t>
      </w:r>
    </w:p>
    <w:p>
      <w:pPr>
        <w:pStyle w:val="Normal"/>
        <w:rPr/>
      </w:pPr>
      <w:r>
        <w:rPr/>
        <w:t>Considérant qu’une nouvelle convention, remplaçant celle signée en 2022, sera prochainement soumise aux communes afin de préciser les rôles et responsabilités en matière de gestion et de maintenance du réseau ;</w:t>
      </w:r>
    </w:p>
    <w:p>
      <w:pPr>
        <w:pStyle w:val="Normal"/>
        <w:rPr/>
      </w:pPr>
      <w:r>
        <w:rPr/>
        <w:t>DECIDE : à l'unanimité</w:t>
      </w:r>
    </w:p>
    <w:p>
      <w:pPr>
        <w:pStyle w:val="Normal"/>
        <w:rPr/>
      </w:pPr>
      <w:r>
        <w:rPr>
          <w:rStyle w:val="KGo1pod"/>
        </w:rPr>
        <w:t>Article 1</w:t>
      </w:r>
      <w:r>
        <w:rPr/>
        <w:t xml:space="preserve"> : d'adhérer à la convention ci-jointe et d'accepter les modalités de développement et d'entretien du réseau tels que précisés dans ladite convention.</w:t>
      </w:r>
    </w:p>
    <w:p>
      <w:pPr>
        <w:pStyle w:val="Normal"/>
        <w:rPr/>
      </w:pPr>
      <w:r>
        <w:rPr/>
        <w:t> </w:t>
      </w:r>
    </w:p>
    <w:p>
      <w:pPr>
        <w:pStyle w:val="Normal"/>
        <w:rPr/>
      </w:pPr>
      <w:r>
        <w:rPr>
          <w:rStyle w:val="KGo1pod"/>
        </w:rPr>
        <w:t>Article 2</w:t>
      </w:r>
      <w:r>
        <w:rPr/>
        <w:t xml:space="preserve"> : de désigner au sein de la commune une personne de contact qui aura le rôle "d'agent-relais" pour le projet :</w:t>
      </w:r>
    </w:p>
    <w:p>
      <w:pPr>
        <w:pStyle w:val="Normal"/>
        <w:rPr/>
      </w:pPr>
      <w:r>
        <w:rPr/>
        <w:t>DUFRASNE Marie</w:t>
      </w:r>
    </w:p>
    <w:p>
      <w:pPr>
        <w:pStyle w:val="Normal"/>
        <w:rPr/>
      </w:pPr>
      <w:r>
        <w:rPr/>
        <w:t>Service Tourisme</w:t>
      </w:r>
    </w:p>
    <w:p>
      <w:pPr>
        <w:pStyle w:val="Normal"/>
        <w:rPr/>
      </w:pPr>
      <w:r>
        <w:rPr/>
        <w:t>dufrasne.m@montdelenclus.be</w:t>
      </w:r>
    </w:p>
    <w:p>
      <w:pPr>
        <w:pStyle w:val="Normal"/>
        <w:rPr/>
      </w:pPr>
      <w:r>
        <w:rPr/>
        <w:t>069/768263 (poste 8)</w:t>
      </w:r>
    </w:p>
    <w:p>
      <w:pPr>
        <w:pStyle w:val="Normal"/>
        <w:rPr/>
      </w:pPr>
      <w:r>
        <w:rPr/>
        <w:t> </w:t>
      </w:r>
    </w:p>
    <w:p>
      <w:pPr>
        <w:pStyle w:val="Normal"/>
        <w:rPr/>
      </w:pPr>
      <w:r>
        <w:rPr>
          <w:rStyle w:val="KGo1pod"/>
        </w:rPr>
        <w:t>Article 3</w:t>
      </w:r>
      <w:r>
        <w:rPr/>
        <w:t xml:space="preserve"> : de signaler à l'opérateur tout changement dans les personnes désignées à l'article 2 de la présente délibération.</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 xml:space="preserve">OBJET N°7 : Marché de Travaux - Travaux de réparation d'une portion d'égouttage à la Rue Horlitin à Amougies ; approbation du cahier spécial des charges et choix du mode de passation </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locale et de la décentralisation et ses modifications ultérieures, notamment l'article L1222-3 §1 relatif aux compétences du Conseil communal et les articles L3111-1 et suivants relatifs à la tutelle ;</w:t>
      </w:r>
    </w:p>
    <w:p>
      <w:pPr>
        <w:pStyle w:val="Normal"/>
        <w:rPr/>
      </w:pPr>
      <w:r>
        <w:rPr/>
        <w:t>Vu la loi du 17 juin 2013 relative à la motivation, à l'information et aux voies de recours en matière de marchés publics, de certains marchés de travaux, de fournitures et de services et de concessions et ses modifications ultérieures ;</w:t>
      </w:r>
    </w:p>
    <w:p>
      <w:pPr>
        <w:pStyle w:val="Normal"/>
        <w:rPr/>
      </w:pPr>
      <w:r>
        <w:rPr/>
        <w:t>Vu la loi du 17 juin 2016 relative aux marchés publics et ses modifications ultérieures, notamment l’article 42, § 1, 1° a) (la dépense à approuver HTVA n'atteint pas le seuil de 140.000,00 €) ;</w:t>
      </w:r>
    </w:p>
    <w:p>
      <w:pPr>
        <w:pStyle w:val="Normal"/>
        <w:rPr/>
      </w:pPr>
      <w:r>
        <w:rPr/>
        <w:t>Vu l'arrêté royal du 14 janvier 2013 établissant les règles générales d'exécution des marchés publics et ses modifications ultérieures ;</w:t>
      </w:r>
    </w:p>
    <w:p>
      <w:pPr>
        <w:pStyle w:val="Normal"/>
        <w:rPr/>
      </w:pPr>
      <w:r>
        <w:rPr/>
        <w:t>Vu l'arrêté royal du 18 avril 2017 relatif à la passation des marchés publics dans les secteurs classiques et ses modifications ultérieures, notamment l'article 90, 1° ;</w:t>
      </w:r>
    </w:p>
    <w:p>
      <w:pPr>
        <w:pStyle w:val="Normal"/>
        <w:rPr/>
      </w:pPr>
      <w:r>
        <w:rPr/>
        <w:t>Attendu que des affaissement se sont produits en 2025 devant les habitations sises rue Horlitin n°7, 9 et 11 à 7750 Amougies ;</w:t>
      </w:r>
    </w:p>
    <w:p>
      <w:pPr>
        <w:pStyle w:val="Normal"/>
        <w:rPr/>
      </w:pPr>
      <w:r>
        <w:rPr/>
        <w:t>Attendu que le rapport d’Inisma a mis en cause l’étanchéité du réseau d’égouttage devant les trois habitations ;</w:t>
      </w:r>
    </w:p>
    <w:p>
      <w:pPr>
        <w:pStyle w:val="Normal"/>
        <w:rPr/>
      </w:pPr>
      <w:r>
        <w:rPr/>
        <w:t>Attendu qu’il y a donc lieu de remplacer le réseau d’égouttage devant les trois habitations ;</w:t>
      </w:r>
    </w:p>
    <w:p>
      <w:pPr>
        <w:pStyle w:val="Normal"/>
        <w:rPr/>
      </w:pPr>
      <w:r>
        <w:rPr/>
        <w:t>Vu la délibération du 02.04.2026 par laquelle le Conseil Communal décide de solliciter l’intercommunale Ipalle dans le cadre des services « In-house » offerts à ses associés pour les travaux de remplacement d’une portion de l’égouttage à la rue Horlitin à 7750 Mont-de-l’Enclus et d’approuver les termes de la convention ; </w:t>
      </w:r>
    </w:p>
    <w:p>
      <w:pPr>
        <w:pStyle w:val="Normal"/>
        <w:rPr/>
      </w:pPr>
      <w:r>
        <w:rPr/>
        <w:t>Vu la délibération du 07.04.2026 par laquelle le Collège Communal décide de désigner formellement l’intercommunale Ipalle afin qu’elle exécute la mission d'étude, d’assistance à Maîtrise d’ouvrage et de suivi de chantier pour le projet des travaux de remplacement d'une portion d'égouttage à la rue Horlitin à Amougies dans le cadre des relations In House convenues avec ses associés à 2,5% pour  l’assistance de la maitrise ouvrage, 9% pour les honoraires d'étude du projet et 2,5 % pour le suivi du chantier pour un montant estimé de 14.000 € htva soit 16.940 € TVAC et d’entériner le devis établi ainsi que les conditions générales de prestation de services et de mise en œuvre qui formeront la base contractuelle de la mission;</w:t>
      </w:r>
    </w:p>
    <w:p>
      <w:pPr>
        <w:pStyle w:val="Normal"/>
        <w:rPr/>
      </w:pPr>
      <w:r>
        <w:rPr/>
        <w:t>Considérant le cahier des charges N° projet n°20260025 relatif au marché “TRAVAUX DE REPARATION D'UNE PORTION D'EGOUTTAGE A LA RUE HORLITIN A AMOUGIES ” établi par Ipalle ;</w:t>
      </w:r>
    </w:p>
    <w:p>
      <w:pPr>
        <w:pStyle w:val="Normal"/>
        <w:rPr/>
      </w:pPr>
      <w:r>
        <w:rPr/>
        <w:t>Considérant que le montant estimé de ce marché s'élève à 98.548,46 € hors TVA ou 119.243,64 €, 21% TVA comprise ;</w:t>
      </w:r>
    </w:p>
    <w:p>
      <w:pPr>
        <w:pStyle w:val="Normal"/>
        <w:rPr/>
      </w:pPr>
      <w:r>
        <w:rPr/>
        <w:t>Considérant qu'il est proposé de passer le marché par procédure négociée sans publication préalable ;</w:t>
      </w:r>
    </w:p>
    <w:p>
      <w:pPr>
        <w:pStyle w:val="Normal"/>
        <w:rPr/>
      </w:pPr>
      <w:r>
        <w:rPr/>
        <w:t>Considérant que le crédit permettant cette dépense est inscrit au budget 2026 à l’article 421/733-60 (projet n°20260025) et qu’il sera augmenté lors de la prochaine modification budgétaire;</w:t>
      </w:r>
    </w:p>
    <w:p>
      <w:pPr>
        <w:pStyle w:val="Normal"/>
        <w:rPr/>
      </w:pPr>
      <w:r>
        <w:rPr/>
        <w:t>DECIDE : à l'unanimité</w:t>
      </w:r>
    </w:p>
    <w:p>
      <w:pPr>
        <w:pStyle w:val="KGo8pod"/>
        <w:rPr/>
      </w:pPr>
      <w:r>
        <w:rPr>
          <w:rStyle w:val="KGo1pod"/>
        </w:rPr>
        <w:t xml:space="preserve">Article 1er : </w:t>
      </w:r>
      <w:r>
        <w:rPr/>
        <w:t>de marquer son accord de principe sur les travaux de remplacement d’une portion d’égouttagze à la rue Horlitin à Amougies ;</w:t>
      </w:r>
    </w:p>
    <w:p>
      <w:pPr>
        <w:pStyle w:val="KGo8pod"/>
        <w:rPr/>
      </w:pPr>
      <w:r>
        <w:rPr>
          <w:rStyle w:val="KGo1pod"/>
        </w:rPr>
        <w:t>Article 2 :</w:t>
      </w:r>
      <w:r>
        <w:rPr/>
        <w:t xml:space="preserve"> d'approuver le cahier des charges N° projet n°20260025 et le montant estimé du marché “TRAVAUX DE REPARATION D'UNE PORTION D'EGOUTTAGE A LA RUE HORLITIN A AMOUGIES ”, établis par Ipalle. Les conditions sont fixées comme prévu au cahier des charges et par les règles générales d'exécution des marchés publics. Le montant estimé s'élève à 98.548,46 € hors TVA ou 119.243,64 €, 21% TVA comprise.</w:t>
      </w:r>
    </w:p>
    <w:p>
      <w:pPr>
        <w:pStyle w:val="KGo8pod"/>
        <w:rPr/>
      </w:pPr>
      <w:r>
        <w:rPr>
          <w:rStyle w:val="KGo1pod"/>
        </w:rPr>
        <w:t xml:space="preserve">Article 3 : </w:t>
      </w:r>
      <w:r>
        <w:rPr/>
        <w:t>De passer le marché par la procédure négociée sans publication préalable.</w:t>
      </w:r>
    </w:p>
    <w:p>
      <w:pPr>
        <w:pStyle w:val="KGo8pod"/>
        <w:rPr/>
      </w:pPr>
      <w:r>
        <w:rPr>
          <w:rStyle w:val="KGo1pod"/>
        </w:rPr>
        <w:t xml:space="preserve">Article 4 : </w:t>
      </w:r>
      <w:r>
        <w:rPr/>
        <w:t>de charger le Collège Communal, de la passation du marché ;</w:t>
      </w:r>
    </w:p>
    <w:p>
      <w:pPr>
        <w:pStyle w:val="KGo8pod"/>
        <w:rPr/>
      </w:pPr>
      <w:r>
        <w:rPr>
          <w:rStyle w:val="KGo1pod"/>
        </w:rPr>
        <w:t xml:space="preserve">Article 5 : </w:t>
      </w:r>
      <w:r>
        <w:rPr/>
        <w:t>de financer cette dépense par</w:t>
      </w:r>
      <w:r>
        <w:rPr>
          <w:rStyle w:val="KGo1pod"/>
        </w:rPr>
        <w:t xml:space="preserve"> </w:t>
      </w:r>
      <w:r>
        <w:rPr/>
        <w:t>le crédit inscrit au budget 2026 à l'article 421/733-60 (projet n°20260025) ;</w:t>
      </w:r>
    </w:p>
    <w:p>
      <w:pPr>
        <w:pStyle w:val="KGo8pod"/>
        <w:rPr/>
      </w:pPr>
      <w:r>
        <w:rPr>
          <w:rStyle w:val="KGo1pod"/>
        </w:rPr>
        <w:t>Article 6 :</w:t>
      </w:r>
      <w:r>
        <w:rPr/>
        <w:t xml:space="preserve"> des crédits supplémentaires seront inscrits en MB1 de l’exercice 2026 au même article</w:t>
      </w:r>
    </w:p>
    <w:p>
      <w:pPr>
        <w:pStyle w:val="KGo9pod"/>
        <w:rPr/>
      </w:pPr>
      <w:r>
        <w:rPr/>
        <w:t> </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pBdr>
          <w:top w:val="single" w:sz="2" w:space="3" w:color="000000"/>
          <w:left w:val="single" w:sz="2" w:space="1" w:color="000000"/>
          <w:bottom w:val="single" w:sz="2" w:space="3" w:color="000000"/>
          <w:right w:val="single" w:sz="2" w:space="1" w:color="000000"/>
        </w:pBdr>
        <w:jc w:val="both"/>
        <w:rPr>
          <w:rFonts w:ascii="Calibri" w:hAnsi="Calibri"/>
          <w:b/>
          <w:b/>
          <w:bCs/>
          <w:u w:val="none"/>
        </w:rPr>
      </w:pPr>
      <w:r>
        <w:rPr>
          <w:rFonts w:ascii="Calibri" w:hAnsi="Calibri"/>
          <w:b/>
          <w:bCs/>
          <w:u w:val="none"/>
        </w:rPr>
        <w:t>OBJET N°8 : Assemblée générale ordinaire - IMIO scrl : Ordre du jour; approbation</w:t>
      </w:r>
    </w:p>
    <w:p>
      <w:pPr>
        <w:pStyle w:val="Normal"/>
        <w:tabs>
          <w:tab w:val="clear" w:pos="709"/>
        </w:tabs>
        <w:spacing w:before="0" w:after="0"/>
        <w:jc w:val="both"/>
        <w:rPr>
          <w:rFonts w:ascii="Calibri" w:hAnsi="Calibri"/>
        </w:rPr>
      </w:pPr>
      <w:r>
        <w:rPr>
          <w:rFonts w:ascii="Calibri" w:hAnsi="Calibri"/>
        </w:rPr>
      </w:r>
    </w:p>
    <w:p>
      <w:pPr>
        <w:pStyle w:val="Normal"/>
        <w:tabs>
          <w:tab w:val="clear" w:pos="709"/>
        </w:tabs>
        <w:spacing w:before="0" w:after="0"/>
        <w:jc w:val="both"/>
        <w:rPr>
          <w:rFonts w:ascii="Calibri" w:hAnsi="Calibri"/>
        </w:rPr>
      </w:pPr>
      <w:r>
        <w:rPr>
          <w:rFonts w:ascii="Calibri" w:hAnsi="Calibri"/>
        </w:rPr>
        <w:t>LE CONSEIL COMMUNAL,</w:t>
      </w:r>
    </w:p>
    <w:p>
      <w:pPr>
        <w:pStyle w:val="Normal"/>
        <w:tabs>
          <w:tab w:val="clear" w:pos="709"/>
        </w:tabs>
        <w:spacing w:before="0" w:after="0"/>
        <w:jc w:val="both"/>
        <w:rPr>
          <w:rFonts w:ascii="Calibri" w:hAnsi="Calibri"/>
        </w:rPr>
      </w:pPr>
      <w:r>
        <w:rPr>
          <w:rFonts w:ascii="Calibri" w:hAnsi="Calibri"/>
        </w:rPr>
      </w:r>
    </w:p>
    <w:p>
      <w:pPr>
        <w:pStyle w:val="Normal"/>
        <w:rPr/>
      </w:pPr>
      <w:r>
        <w:rPr/>
        <w:t>Vu le code de la démocratie et de la décentralisation et plus particulièrement les articles 1523-1 à L1523-44 relatifs aux intercommunales ;  </w:t>
      </w:r>
    </w:p>
    <w:p>
      <w:pPr>
        <w:pStyle w:val="Normal"/>
        <w:rPr/>
      </w:pPr>
      <w:r>
        <w:rPr/>
        <w:t> </w:t>
      </w:r>
    </w:p>
    <w:p>
      <w:pPr>
        <w:pStyle w:val="Normal"/>
        <w:rPr/>
      </w:pPr>
      <w:r>
        <w:rPr/>
        <w:t>Vu la délibération du Conseil du 14 septembre 2023 portant sur la prise de participation de la  Commune de Mont-de-l’Enclus à l'intercommunale de mutualisation en matière informatique et organisationnelle (IMIO) ;</w:t>
      </w:r>
    </w:p>
    <w:p>
      <w:pPr>
        <w:pStyle w:val="Normal"/>
        <w:rPr/>
      </w:pPr>
      <w:r>
        <w:rPr/>
        <w:t> </w:t>
      </w:r>
    </w:p>
    <w:p>
      <w:pPr>
        <w:pStyle w:val="Normal"/>
        <w:rPr/>
      </w:pPr>
      <w:r>
        <w:rPr/>
        <w:t>Considérant que la commune de Mont de l’Enclus a été convoquée à participer à l’Assemblée générale du 2 juin 2026,</w:t>
      </w:r>
      <w:r>
        <w:rPr>
          <w:rStyle w:val="KGo1pod"/>
        </w:rPr>
        <w:t xml:space="preserve"> </w:t>
      </w:r>
      <w:r>
        <w:rPr/>
        <w:t>par lettre datée du 24 mars 2026 ;</w:t>
      </w:r>
    </w:p>
    <w:p>
      <w:pPr>
        <w:pStyle w:val="Normal"/>
        <w:rPr/>
      </w:pPr>
      <w:r>
        <w:rPr/>
        <w:t> </w:t>
      </w:r>
    </w:p>
    <w:p>
      <w:pPr>
        <w:pStyle w:val="Normal"/>
        <w:rPr/>
      </w:pPr>
      <w:r>
        <w:rPr/>
        <w:t>Qu’en l’absence de quorum lors de cette réunion, une nouvelle Assemblée générale a été convoquée le 16 juin 2024 ;</w:t>
      </w:r>
    </w:p>
    <w:p>
      <w:pPr>
        <w:pStyle w:val="Normal"/>
        <w:rPr/>
      </w:pPr>
      <w:r>
        <w:rPr/>
        <w:t> </w:t>
      </w:r>
    </w:p>
    <w:p>
      <w:pPr>
        <w:pStyle w:val="Normal"/>
        <w:rPr/>
      </w:pPr>
      <w:r>
        <w:rPr/>
        <w:t>Que le Conseil doit se prononcer sur les points de l’ordre du jour de l’Assemblée générale adressés par l’intercommunale ;</w:t>
      </w:r>
    </w:p>
    <w:p>
      <w:pPr>
        <w:pStyle w:val="KGo8pod"/>
        <w:rPr/>
      </w:pPr>
      <w:r>
        <w:rPr/>
        <w:t> </w:t>
      </w:r>
    </w:p>
    <w:p>
      <w:pPr>
        <w:pStyle w:val="KGo8pod"/>
        <w:rPr/>
      </w:pPr>
      <w:r>
        <w:rPr>
          <w:rStyle w:val="KGo3pod"/>
        </w:rPr>
        <w:t>Considérant que l'ordre du jour porte sur :</w:t>
      </w:r>
    </w:p>
    <w:p>
      <w:pPr>
        <w:pStyle w:val="KGo8pod"/>
        <w:rPr/>
      </w:pPr>
      <w:r>
        <w:rPr/>
        <w:t> </w:t>
      </w:r>
    </w:p>
    <w:p>
      <w:pPr>
        <w:pStyle w:val="KGo10pod"/>
        <w:numPr>
          <w:ilvl w:val="0"/>
          <w:numId w:val="7"/>
        </w:numPr>
        <w:tabs>
          <w:tab w:val="clear" w:pos="709"/>
          <w:tab w:val="left" w:pos="0" w:leader="none"/>
        </w:tabs>
        <w:ind w:left="922" w:hanging="461"/>
        <w:rPr/>
      </w:pPr>
      <w:r>
        <w:rPr/>
        <w:t>Présentation du rapport d’activités 2025.</w:t>
      </w:r>
    </w:p>
    <w:p>
      <w:pPr>
        <w:pStyle w:val="KGo10pod"/>
        <w:numPr>
          <w:ilvl w:val="0"/>
          <w:numId w:val="2"/>
        </w:numPr>
        <w:tabs>
          <w:tab w:val="clear" w:pos="709"/>
          <w:tab w:val="left" w:pos="0" w:leader="none"/>
        </w:tabs>
        <w:ind w:left="922" w:hanging="461"/>
        <w:rPr/>
      </w:pPr>
      <w:r>
        <w:rPr/>
        <w:t>Présentation du rapport de gestion du Conseil d’administration.</w:t>
      </w:r>
    </w:p>
    <w:p>
      <w:pPr>
        <w:pStyle w:val="KGo10pod"/>
        <w:numPr>
          <w:ilvl w:val="0"/>
          <w:numId w:val="2"/>
        </w:numPr>
        <w:tabs>
          <w:tab w:val="clear" w:pos="709"/>
          <w:tab w:val="left" w:pos="0" w:leader="none"/>
        </w:tabs>
        <w:ind w:left="922" w:hanging="461"/>
        <w:rPr/>
      </w:pPr>
      <w:r>
        <w:rPr/>
        <w:t>Présentation du rapport du Collège des contrôleurs aux comptes.</w:t>
      </w:r>
    </w:p>
    <w:p>
      <w:pPr>
        <w:pStyle w:val="KGo10pod"/>
        <w:numPr>
          <w:ilvl w:val="0"/>
          <w:numId w:val="2"/>
        </w:numPr>
        <w:tabs>
          <w:tab w:val="clear" w:pos="709"/>
          <w:tab w:val="left" w:pos="0" w:leader="none"/>
        </w:tabs>
        <w:ind w:left="922" w:hanging="461"/>
        <w:rPr/>
      </w:pPr>
      <w:r>
        <w:rPr/>
        <w:t>Approbation des comptes annuels 2025 et adoption du bilan.</w:t>
      </w:r>
    </w:p>
    <w:p>
      <w:pPr>
        <w:pStyle w:val="KGo10pod"/>
        <w:numPr>
          <w:ilvl w:val="0"/>
          <w:numId w:val="2"/>
        </w:numPr>
        <w:tabs>
          <w:tab w:val="clear" w:pos="709"/>
          <w:tab w:val="left" w:pos="0" w:leader="none"/>
        </w:tabs>
        <w:ind w:left="922" w:hanging="461"/>
        <w:rPr/>
      </w:pPr>
      <w:r>
        <w:rPr/>
        <w:t>Décharge aux administrateurs.</w:t>
      </w:r>
    </w:p>
    <w:p>
      <w:pPr>
        <w:pStyle w:val="KGo10pod"/>
        <w:numPr>
          <w:ilvl w:val="0"/>
          <w:numId w:val="2"/>
        </w:numPr>
        <w:tabs>
          <w:tab w:val="clear" w:pos="709"/>
          <w:tab w:val="left" w:pos="0" w:leader="none"/>
        </w:tabs>
        <w:ind w:left="922" w:hanging="461"/>
        <w:rPr/>
      </w:pPr>
      <w:r>
        <w:rPr/>
        <w:t>Décharge aux membres du Collège des contrôleurs aux comptes.</w:t>
      </w:r>
    </w:p>
    <w:p>
      <w:pPr>
        <w:pStyle w:val="KGo10pod"/>
        <w:numPr>
          <w:ilvl w:val="0"/>
          <w:numId w:val="2"/>
        </w:numPr>
        <w:tabs>
          <w:tab w:val="clear" w:pos="709"/>
          <w:tab w:val="left" w:pos="0" w:leader="none"/>
        </w:tabs>
        <w:ind w:left="922" w:hanging="461"/>
        <w:rPr/>
      </w:pPr>
      <w:r>
        <w:rPr/>
        <w:t>Notification - Délégations du Conseil d’administration.</w:t>
      </w:r>
    </w:p>
    <w:p>
      <w:pPr>
        <w:pStyle w:val="KGo10pod"/>
        <w:numPr>
          <w:ilvl w:val="0"/>
          <w:numId w:val="2"/>
        </w:numPr>
        <w:tabs>
          <w:tab w:val="clear" w:pos="709"/>
          <w:tab w:val="left" w:pos="0" w:leader="none"/>
        </w:tabs>
        <w:ind w:left="922" w:hanging="461"/>
        <w:rPr/>
      </w:pPr>
      <w:r>
        <w:rPr/>
        <w:t>Fixation des rémunérations et jetons de présence des administrateurs.</w:t>
      </w:r>
    </w:p>
    <w:p>
      <w:pPr>
        <w:pStyle w:val="KGo8pod"/>
        <w:rPr/>
      </w:pPr>
      <w:r>
        <w:rPr/>
        <w:t> </w:t>
      </w:r>
    </w:p>
    <w:p>
      <w:pPr>
        <w:pStyle w:val="KGo8pod"/>
        <w:rPr/>
      </w:pPr>
      <w:r>
        <w:rPr/>
        <w:t>Considérant que les points précités sont de la compétence de l’Assemblée Générale et ce, conformément aux statuts de l’intercommunale IMIO ;</w:t>
      </w:r>
    </w:p>
    <w:p>
      <w:pPr>
        <w:pStyle w:val="KGo8pod"/>
        <w:rPr/>
      </w:pPr>
      <w:r>
        <w:rPr/>
        <w:t> </w:t>
      </w:r>
    </w:p>
    <w:p>
      <w:pPr>
        <w:pStyle w:val="KGo8pod"/>
        <w:rPr/>
      </w:pPr>
      <w:r>
        <w:rPr/>
        <w:t>Sur proposition du Collège communal ;  </w:t>
      </w:r>
    </w:p>
    <w:p>
      <w:pPr>
        <w:pStyle w:val="KGo8pod"/>
        <w:rPr/>
      </w:pPr>
      <w:r>
        <w:rPr/>
        <w:t> </w:t>
      </w:r>
    </w:p>
    <w:p>
      <w:pPr>
        <w:pStyle w:val="KGo8pod"/>
        <w:rPr/>
      </w:pPr>
      <w:r>
        <w:rPr/>
        <w:t>Après en avoir délibéré ;</w:t>
      </w:r>
    </w:p>
    <w:p>
      <w:pPr>
        <w:pStyle w:val="KGo8pod"/>
        <w:rPr/>
      </w:pPr>
      <w:r>
        <w:rPr/>
        <w:t>DECIDE : à l'unanimité</w:t>
      </w:r>
      <w:r>
        <w:rPr>
          <w:rStyle w:val="KGo3pod"/>
        </w:rPr>
        <w:t xml:space="preserve"> </w:t>
      </w:r>
    </w:p>
    <w:p>
      <w:pPr>
        <w:pStyle w:val="KGo8pod"/>
        <w:rPr/>
      </w:pPr>
      <w:r>
        <w:rPr>
          <w:rStyle w:val="KGo3pod"/>
        </w:rPr>
        <w:t>Article premier :</w:t>
      </w:r>
    </w:p>
    <w:p>
      <w:pPr>
        <w:pStyle w:val="KGo8pod"/>
        <w:rPr/>
      </w:pPr>
      <w:r>
        <w:rPr/>
        <w:t> </w:t>
      </w:r>
    </w:p>
    <w:p>
      <w:pPr>
        <w:pStyle w:val="KGo11pod"/>
        <w:numPr>
          <w:ilvl w:val="0"/>
          <w:numId w:val="8"/>
        </w:numPr>
        <w:tabs>
          <w:tab w:val="clear" w:pos="709"/>
          <w:tab w:val="left" w:pos="0" w:leader="none"/>
        </w:tabs>
        <w:ind w:left="922" w:hanging="461"/>
        <w:rPr/>
      </w:pPr>
      <w:r>
        <w:rPr/>
        <w:t>D'approuver l’ordre du jour de l'Assemblée générale d'IMIO du 2 juin 2026, ainsi que les points de décision y afférents, à savoir :</w:t>
      </w:r>
    </w:p>
    <w:p>
      <w:pPr>
        <w:pStyle w:val="KGo8pod"/>
        <w:rPr/>
      </w:pPr>
      <w:r>
        <w:rPr/>
        <w:t> </w:t>
      </w:r>
    </w:p>
    <w:p>
      <w:pPr>
        <w:pStyle w:val="PodNumberItem"/>
        <w:numPr>
          <w:ilvl w:val="0"/>
          <w:numId w:val="10"/>
        </w:numPr>
        <w:tabs>
          <w:tab w:val="clear" w:pos="709"/>
          <w:tab w:val="left" w:pos="0" w:leader="none"/>
        </w:tabs>
        <w:ind w:left="922" w:hanging="461"/>
        <w:rPr/>
      </w:pPr>
      <w:r>
        <w:rPr/>
        <w:t>Présentation du rapport d’activités 2025.</w:t>
      </w:r>
    </w:p>
    <w:p>
      <w:pPr>
        <w:pStyle w:val="PodNumberItem"/>
        <w:numPr>
          <w:ilvl w:val="0"/>
          <w:numId w:val="9"/>
        </w:numPr>
        <w:tabs>
          <w:tab w:val="clear" w:pos="709"/>
          <w:tab w:val="left" w:pos="0" w:leader="none"/>
        </w:tabs>
        <w:ind w:left="922" w:hanging="461"/>
        <w:rPr/>
      </w:pPr>
      <w:r>
        <w:rPr/>
        <w:t>Présentation du rapport de gestion du Conseil d’administration.</w:t>
      </w:r>
    </w:p>
    <w:p>
      <w:pPr>
        <w:pStyle w:val="PodNumberItem"/>
        <w:numPr>
          <w:ilvl w:val="0"/>
          <w:numId w:val="9"/>
        </w:numPr>
        <w:tabs>
          <w:tab w:val="clear" w:pos="709"/>
          <w:tab w:val="left" w:pos="0" w:leader="none"/>
        </w:tabs>
        <w:ind w:left="922" w:hanging="461"/>
        <w:rPr/>
      </w:pPr>
      <w:r>
        <w:rPr/>
        <w:t>Présentation du rapport du Collège des contrôleurs aux comptes.</w:t>
      </w:r>
    </w:p>
    <w:p>
      <w:pPr>
        <w:pStyle w:val="PodNumberItem"/>
        <w:numPr>
          <w:ilvl w:val="0"/>
          <w:numId w:val="9"/>
        </w:numPr>
        <w:tabs>
          <w:tab w:val="clear" w:pos="709"/>
          <w:tab w:val="left" w:pos="0" w:leader="none"/>
        </w:tabs>
        <w:ind w:left="922" w:hanging="461"/>
        <w:rPr/>
      </w:pPr>
      <w:r>
        <w:rPr/>
        <w:t>Approbation des comptes annuels 2025 et adoption du bilan.</w:t>
      </w:r>
    </w:p>
    <w:p>
      <w:pPr>
        <w:pStyle w:val="PodNumberItem"/>
        <w:numPr>
          <w:ilvl w:val="0"/>
          <w:numId w:val="9"/>
        </w:numPr>
        <w:tabs>
          <w:tab w:val="clear" w:pos="709"/>
          <w:tab w:val="left" w:pos="0" w:leader="none"/>
        </w:tabs>
        <w:ind w:left="922" w:hanging="461"/>
        <w:rPr/>
      </w:pPr>
      <w:r>
        <w:rPr/>
        <w:t>Décharge aux administrateurs.</w:t>
      </w:r>
    </w:p>
    <w:p>
      <w:pPr>
        <w:pStyle w:val="PodNumberItem"/>
        <w:numPr>
          <w:ilvl w:val="0"/>
          <w:numId w:val="9"/>
        </w:numPr>
        <w:tabs>
          <w:tab w:val="clear" w:pos="709"/>
          <w:tab w:val="left" w:pos="0" w:leader="none"/>
        </w:tabs>
        <w:ind w:left="922" w:hanging="461"/>
        <w:rPr/>
      </w:pPr>
      <w:r>
        <w:rPr/>
        <w:t>Décharge aux membres du Collège des contrôleurs aux comptes.</w:t>
      </w:r>
    </w:p>
    <w:p>
      <w:pPr>
        <w:pStyle w:val="PodNumberItem"/>
        <w:numPr>
          <w:ilvl w:val="0"/>
          <w:numId w:val="9"/>
        </w:numPr>
        <w:tabs>
          <w:tab w:val="clear" w:pos="709"/>
          <w:tab w:val="left" w:pos="0" w:leader="none"/>
        </w:tabs>
        <w:ind w:left="922" w:hanging="461"/>
        <w:rPr/>
      </w:pPr>
      <w:r>
        <w:rPr/>
        <w:t>Notification - Délégations du Conseil d’administration.</w:t>
      </w:r>
    </w:p>
    <w:p>
      <w:pPr>
        <w:pStyle w:val="PodNumberItem"/>
        <w:numPr>
          <w:ilvl w:val="0"/>
          <w:numId w:val="9"/>
        </w:numPr>
        <w:tabs>
          <w:tab w:val="clear" w:pos="709"/>
          <w:tab w:val="left" w:pos="0" w:leader="none"/>
        </w:tabs>
        <w:ind w:left="922" w:hanging="461"/>
        <w:rPr/>
      </w:pPr>
      <w:r>
        <w:rPr/>
        <w:t>Fixation des rémunérations et jetons de présence des administrateurs</w:t>
      </w:r>
    </w:p>
    <w:p>
      <w:pPr>
        <w:pStyle w:val="Normal"/>
        <w:rPr/>
      </w:pPr>
      <w:r>
        <w:rPr/>
        <w:t> </w:t>
      </w:r>
    </w:p>
    <w:p>
      <w:pPr>
        <w:pStyle w:val="KGo11pod"/>
        <w:numPr>
          <w:ilvl w:val="0"/>
          <w:numId w:val="11"/>
        </w:numPr>
        <w:tabs>
          <w:tab w:val="clear" w:pos="709"/>
          <w:tab w:val="left" w:pos="0" w:leader="none"/>
        </w:tabs>
        <w:ind w:left="922" w:hanging="461"/>
        <w:rPr/>
      </w:pPr>
      <w:r>
        <w:rPr/>
        <w:t>De rapporter les résultats de ces votes à l’Assemblée générale d’IMIO.</w:t>
      </w:r>
    </w:p>
    <w:p>
      <w:pPr>
        <w:pStyle w:val="KGo8pod"/>
        <w:rPr/>
      </w:pPr>
      <w:r>
        <w:rPr/>
        <w:t> </w:t>
      </w:r>
    </w:p>
    <w:p>
      <w:pPr>
        <w:pStyle w:val="KGo8pod"/>
        <w:rPr/>
      </w:pPr>
      <w:r>
        <w:rPr>
          <w:rStyle w:val="KGo3pod"/>
        </w:rPr>
        <w:t xml:space="preserve">Art.2. : </w:t>
      </w:r>
      <w:r>
        <w:rPr/>
        <w:t>          De charger les délégués, à savoir :</w:t>
      </w:r>
    </w:p>
    <w:p>
      <w:pPr>
        <w:pStyle w:val="PodBulletItem"/>
        <w:numPr>
          <w:ilvl w:val="0"/>
          <w:numId w:val="12"/>
        </w:numPr>
        <w:tabs>
          <w:tab w:val="clear" w:pos="709"/>
          <w:tab w:val="left" w:pos="0" w:leader="none"/>
        </w:tabs>
        <w:ind w:left="922" w:hanging="461"/>
        <w:rPr/>
      </w:pPr>
      <w:r>
        <w:rPr/>
        <w:t>DETEMMERMAN D.</w:t>
      </w:r>
    </w:p>
    <w:p>
      <w:pPr>
        <w:pStyle w:val="PodBulletItem"/>
        <w:numPr>
          <w:ilvl w:val="0"/>
          <w:numId w:val="12"/>
        </w:numPr>
        <w:tabs>
          <w:tab w:val="clear" w:pos="709"/>
          <w:tab w:val="left" w:pos="0" w:leader="none"/>
        </w:tabs>
        <w:ind w:left="922" w:hanging="461"/>
        <w:rPr/>
      </w:pPr>
      <w:r>
        <w:rPr/>
        <w:t>VERSCHUERE Ch.</w:t>
      </w:r>
    </w:p>
    <w:p>
      <w:pPr>
        <w:pStyle w:val="PodBulletItem"/>
        <w:numPr>
          <w:ilvl w:val="0"/>
          <w:numId w:val="12"/>
        </w:numPr>
        <w:tabs>
          <w:tab w:val="clear" w:pos="709"/>
          <w:tab w:val="left" w:pos="0" w:leader="none"/>
        </w:tabs>
        <w:ind w:left="922" w:hanging="461"/>
        <w:rPr/>
      </w:pPr>
      <w:r>
        <w:rPr/>
        <w:t>DEBRABANDERE J.</w:t>
      </w:r>
    </w:p>
    <w:p>
      <w:pPr>
        <w:pStyle w:val="PodBulletItem"/>
        <w:numPr>
          <w:ilvl w:val="0"/>
          <w:numId w:val="12"/>
        </w:numPr>
        <w:tabs>
          <w:tab w:val="clear" w:pos="709"/>
          <w:tab w:val="left" w:pos="0" w:leader="none"/>
        </w:tabs>
        <w:ind w:left="922" w:hanging="461"/>
        <w:rPr/>
      </w:pPr>
      <w:r>
        <w:rPr/>
        <w:t>DE FRENE E.</w:t>
      </w:r>
    </w:p>
    <w:p>
      <w:pPr>
        <w:pStyle w:val="PodBulletItem"/>
        <w:numPr>
          <w:ilvl w:val="0"/>
          <w:numId w:val="12"/>
        </w:numPr>
        <w:tabs>
          <w:tab w:val="clear" w:pos="709"/>
          <w:tab w:val="left" w:pos="0" w:leader="none"/>
        </w:tabs>
        <w:ind w:left="922" w:hanging="461"/>
        <w:rPr/>
      </w:pPr>
      <w:r>
        <w:rPr/>
        <w:t>GUEMJOM V.</w:t>
      </w:r>
    </w:p>
    <w:p>
      <w:pPr>
        <w:pStyle w:val="KGo8pod"/>
        <w:rPr/>
      </w:pPr>
      <w:r>
        <w:rPr>
          <w:rStyle w:val="KGo3pod"/>
        </w:rPr>
        <w:t>Art.3. :</w:t>
      </w:r>
      <w:r>
        <w:rPr/>
        <w:t xml:space="preserve">           De charger le Collège communal de veiller à l'exécution de la présente décision ;</w:t>
      </w:r>
    </w:p>
    <w:p>
      <w:pPr>
        <w:pStyle w:val="KGo8pod"/>
        <w:rPr/>
      </w:pPr>
      <w:r>
        <w:rPr>
          <w:rStyle w:val="KGo3pod"/>
        </w:rPr>
        <w:t>Art.4. :</w:t>
      </w:r>
      <w:r>
        <w:rPr/>
        <w:t xml:space="preserve">           De transmettre la présente délibération à l'intercommunale IMIO.</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rPr>
          <w:rFonts w:ascii="Calibri" w:hAnsi="Calibri"/>
        </w:rPr>
      </w:pPr>
      <w:r>
        <w:rPr>
          <w:rFonts w:ascii="Calibri" w:hAnsi="Calibri"/>
        </w:rPr>
      </w:r>
    </w:p>
    <w:tbl>
      <w:tblPr>
        <w:tblW w:w="5000" w:type="pct"/>
        <w:jc w:val="right"/>
        <w:tblInd w:w="0" w:type="dxa"/>
        <w:tblLayout w:type="fixed"/>
        <w:tblCellMar>
          <w:top w:w="55" w:type="dxa"/>
          <w:left w:w="55" w:type="dxa"/>
          <w:bottom w:w="55" w:type="dxa"/>
          <w:right w:w="55" w:type="dxa"/>
        </w:tblCellMar>
      </w:tblPr>
      <w:tblGrid>
        <w:gridCol w:w="4699"/>
        <w:gridCol w:w="4707"/>
      </w:tblGrid>
      <w:tr>
        <w:trPr/>
        <w:tc>
          <w:tcPr>
            <w:tcW w:w="9406" w:type="dxa"/>
            <w:gridSpan w:val="2"/>
            <w:tcBorders/>
          </w:tcPr>
          <w:p>
            <w:pPr>
              <w:pStyle w:val="Standard2"/>
              <w:keepNext w:val="true"/>
              <w:rPr>
                <w:rFonts w:ascii="Calibri" w:hAnsi="Calibri"/>
                <w:b/>
                <w:b/>
                <w:bCs/>
                <w:sz w:val="4"/>
                <w:szCs w:val="4"/>
              </w:rPr>
            </w:pPr>
            <w:r>
              <w:rPr>
                <w:rFonts w:ascii="Calibri" w:hAnsi="Calibri"/>
                <w:b/>
                <w:bCs/>
                <w:sz w:val="4"/>
                <w:szCs w:val="4"/>
              </w:rPr>
            </w:r>
          </w:p>
        </w:tc>
      </w:tr>
      <w:tr>
        <w:trPr/>
        <w:tc>
          <w:tcPr>
            <w:tcW w:w="4699" w:type="dxa"/>
            <w:tcBorders/>
          </w:tcPr>
          <w:p>
            <w:pPr>
              <w:pStyle w:val="Standard2"/>
              <w:keepNext w:val="true"/>
              <w:rPr>
                <w:rFonts w:ascii="Calibri" w:hAnsi="Calibri"/>
                <w:b/>
                <w:b/>
                <w:bCs/>
              </w:rPr>
            </w:pPr>
            <w:r>
              <w:rPr>
                <w:rFonts w:ascii="Calibri" w:hAnsi="Calibri"/>
                <w:b/>
                <w:bCs/>
              </w:rPr>
              <w:t>La Directrice générale,</w:t>
            </w:r>
          </w:p>
        </w:tc>
        <w:tc>
          <w:tcPr>
            <w:tcW w:w="4707" w:type="dxa"/>
            <w:tcBorders/>
          </w:tcPr>
          <w:p>
            <w:pPr>
              <w:pStyle w:val="Standard2"/>
              <w:jc w:val="right"/>
              <w:rPr>
                <w:rFonts w:ascii="Calibri" w:hAnsi="Calibri"/>
                <w:b/>
                <w:b/>
                <w:bCs/>
              </w:rPr>
            </w:pPr>
            <w:r>
              <w:rPr>
                <w:rFonts w:ascii="Calibri" w:hAnsi="Calibri"/>
                <w:b/>
                <w:bCs/>
              </w:rPr>
              <w:t>Le Bourgmestre - Président,</w:t>
            </w:r>
          </w:p>
        </w:tc>
      </w:tr>
      <w:tr>
        <w:trPr/>
        <w:tc>
          <w:tcPr>
            <w:tcW w:w="4699" w:type="dxa"/>
            <w:tcBorders/>
          </w:tcPr>
          <w:p>
            <w:pPr>
              <w:pStyle w:val="Standard2"/>
              <w:rPr>
                <w:rFonts w:ascii="Calibri" w:hAnsi="Calibri"/>
                <w:b/>
                <w:b/>
                <w:bCs/>
              </w:rPr>
            </w:pPr>
            <w:r>
              <w:rPr>
                <w:rFonts w:ascii="Calibri" w:hAnsi="Calibri"/>
                <w:b/>
                <w:bCs/>
              </w:rPr>
              <w:t>(s) Amélie BAUSIER</w:t>
            </w:r>
          </w:p>
        </w:tc>
        <w:tc>
          <w:tcPr>
            <w:tcW w:w="4707" w:type="dxa"/>
            <w:tcBorders/>
          </w:tcPr>
          <w:p>
            <w:pPr>
              <w:pStyle w:val="Standard2"/>
              <w:jc w:val="right"/>
              <w:rPr>
                <w:rFonts w:ascii="Calibri" w:hAnsi="Calibri"/>
                <w:b/>
                <w:b/>
                <w:bCs/>
              </w:rPr>
            </w:pPr>
            <w:r>
              <w:rPr>
                <w:rFonts w:ascii="Calibri" w:hAnsi="Calibri"/>
                <w:b/>
                <w:bCs/>
              </w:rPr>
              <w:t>(s) Jean-Pierre BOURDEAUD'HUY</w:t>
            </w:r>
          </w:p>
        </w:tc>
      </w:tr>
    </w:tbl>
    <w:p>
      <w:pPr>
        <w:pStyle w:val="Normal"/>
        <w:rPr>
          <w:rFonts w:ascii="Calibri" w:hAnsi="Calibri"/>
        </w:rPr>
      </w:pPr>
      <w:r>
        <w:rPr>
          <w:rFonts w:ascii="Calibri" w:hAnsi="Calibri"/>
        </w:rPr>
      </w:r>
    </w:p>
    <w:sectPr>
      <w:footerReference w:type="default" r:id="rId2"/>
      <w:type w:val="nextPage"/>
      <w:pgSz w:w="12240" w:h="15840"/>
      <w:pgMar w:left="1417" w:right="1417" w:gutter="0" w:header="0" w:top="540" w:footer="720" w:bottom="899"/>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default"/>
  </w:font>
  <w:font w:name="Tahom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0"/>
    <w:family w:val="swiss"/>
    <w:pitch w:val="variable"/>
  </w:font>
  <w:font w:name="Times">
    <w:altName w:val="Times New Roman"/>
    <w:charset w:val="00"/>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0"/>
      <w:jc w:val="right"/>
      <w:rPr>
        <w:rFonts w:ascii="Calibri" w:hAnsi="Calibri"/>
        <w:bdr w:val="single" w:sz="2" w:space="1" w:color="000000"/>
      </w:rPr>
    </w:pPr>
    <w:r>
      <w:rPr>
        <w:rFonts w:ascii="Calibri" w:hAnsi="Calibri"/>
        <w:bdr w:val="single" w:sz="2" w:space="1" w:color="000000"/>
      </w:rPr>
      <w:fldChar w:fldCharType="begin"/>
    </w:r>
    <w:r>
      <w:rPr>
        <w:bdr w:val="single" w:sz="2" w:space="1" w:color="000000"/>
        <w:rFonts w:ascii="Calibri" w:hAnsi="Calibri"/>
      </w:rPr>
      <w:instrText xml:space="preserve"> PAGE </w:instrText>
    </w:r>
    <w:r>
      <w:rPr>
        <w:bdr w:val="single" w:sz="2" w:space="1" w:color="000000"/>
        <w:rFonts w:ascii="Calibri" w:hAnsi="Calibri"/>
      </w:rPr>
      <w:fldChar w:fldCharType="separate"/>
    </w:r>
    <w:r>
      <w:rPr>
        <w:bdr w:val="single" w:sz="2" w:space="1" w:color="000000"/>
        <w:rFonts w:ascii="Calibri" w:hAnsi="Calibri"/>
      </w:rPr>
      <w:t>9</w:t>
    </w:r>
    <w:r>
      <w:rPr>
        <w:bdr w:val="single" w:sz="2" w:space="1" w:color="000000"/>
        <w:rFonts w:ascii="Calibri" w:hAnsi="Calibri"/>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1"/>
      <w:lvlJc w:val="left"/>
      <w:pPr>
        <w:tabs>
          <w:tab w:val="num" w:pos="432"/>
        </w:tabs>
        <w:ind w:left="432" w:hanging="432"/>
      </w:pPr>
    </w:lvl>
    <w:lvl w:ilvl="1">
      <w:start w:val="1"/>
      <w:pStyle w:val="Heading2"/>
      <w:numFmt w:val="none"/>
      <w:suff w:val="nothing"/>
      <w:lvlText w:val="%2"/>
      <w:lvlJc w:val="left"/>
      <w:pPr>
        <w:tabs>
          <w:tab w:val="num" w:pos="576"/>
        </w:tabs>
        <w:ind w:left="576" w:hanging="576"/>
      </w:pPr>
    </w:lvl>
    <w:lvl w:ilvl="2">
      <w:start w:val="1"/>
      <w:pStyle w:val="Heading3"/>
      <w:numFmt w:val="none"/>
      <w:suff w:val="nothing"/>
      <w:lvlText w:val="%3"/>
      <w:lvlJc w:val="left"/>
      <w:pPr>
        <w:tabs>
          <w:tab w:val="num" w:pos="720"/>
        </w:tabs>
        <w:ind w:left="720" w:hanging="720"/>
      </w:pPr>
    </w:lvl>
    <w:lvl w:ilvl="3">
      <w:start w:val="1"/>
      <w:pStyle w:val="Heading4"/>
      <w:numFmt w:val="none"/>
      <w:suff w:val="nothing"/>
      <w:lvlText w:val="%4"/>
      <w:lvlJc w:val="left"/>
      <w:pPr>
        <w:tabs>
          <w:tab w:val="num" w:pos="864"/>
        </w:tabs>
        <w:ind w:left="864" w:hanging="864"/>
      </w:pPr>
    </w:lvl>
    <w:lvl w:ilvl="4">
      <w:start w:val="1"/>
      <w:pStyle w:val="Heading5"/>
      <w:numFmt w:val="none"/>
      <w:suff w:val="nothing"/>
      <w:lvlText w:val="%5"/>
      <w:lvlJc w:val="left"/>
      <w:pPr>
        <w:tabs>
          <w:tab w:val="num" w:pos="1008"/>
        </w:tabs>
        <w:ind w:left="1008" w:hanging="1008"/>
      </w:pPr>
    </w:lvl>
    <w:lvl w:ilvl="5">
      <w:start w:val="1"/>
      <w:pStyle w:val="Heading6"/>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pStyle w:val="Heading9"/>
      <w:numFmt w:val="none"/>
      <w:suff w:val="nothing"/>
      <w:lvlText w:val="%9"/>
      <w:lvlJc w:val="left"/>
      <w:pPr>
        <w:tabs>
          <w:tab w:val="num" w:pos="1584"/>
        </w:tabs>
        <w:ind w:left="1584" w:hanging="1584"/>
      </w:pPr>
    </w:lvl>
  </w:abstractNum>
  <w:abstractNum w:abstractNumId="2">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1"/>
      <w:numFmt w:val="decimal"/>
      <w:lvlText w:val="%1."/>
      <w:lvlJc w:val="left"/>
      <w:pPr>
        <w:tabs>
          <w:tab w:val="num" w:pos="922"/>
        </w:tabs>
        <w:ind w:left="922" w:hanging="461"/>
      </w:pPr>
      <w:rPr/>
    </w:lvl>
    <w:lvl w:ilvl="1">
      <w:start w:val="1"/>
      <w:numFmt w:val="decimal"/>
      <w:lvlText w:val="%2."/>
      <w:lvlJc w:val="left"/>
      <w:pPr>
        <w:tabs>
          <w:tab w:val="num" w:pos="1383"/>
        </w:tabs>
        <w:ind w:left="1383" w:hanging="461"/>
      </w:pPr>
      <w:rPr/>
    </w:lvl>
    <w:lvl w:ilvl="2">
      <w:start w:val="1"/>
      <w:numFmt w:val="decimal"/>
      <w:lvlText w:val="%3."/>
      <w:lvlJc w:val="left"/>
      <w:pPr>
        <w:tabs>
          <w:tab w:val="num" w:pos="1843"/>
        </w:tabs>
        <w:ind w:left="1843" w:hanging="461"/>
      </w:pPr>
      <w:rPr/>
    </w:lvl>
    <w:lvl w:ilvl="3">
      <w:start w:val="1"/>
      <w:numFmt w:val="decimal"/>
      <w:lvlText w:val="%4."/>
      <w:lvlJc w:val="left"/>
      <w:pPr>
        <w:tabs>
          <w:tab w:val="num" w:pos="2304"/>
        </w:tabs>
        <w:ind w:left="2304" w:hanging="461"/>
      </w:pPr>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2"/>
    <w:lvlOverride w:ilvl="0">
      <w:startOverride w:val="1"/>
    </w:lvlOverride>
  </w:num>
  <w:num w:numId="8">
    <w:abstractNumId w:val="8"/>
  </w:num>
  <w:num w:numId="9">
    <w:abstractNumId w:val="9"/>
  </w:num>
  <w:num w:numId="10">
    <w:abstractNumId w:val="9"/>
    <w:lvlOverride w:ilvl="0">
      <w:startOverride w:val="1"/>
    </w:lvlOverride>
  </w:num>
  <w:num w:numId="11">
    <w:abstractNumId w:val="11"/>
  </w:num>
  <w:num w:numId="12">
    <w:abstractNumId w:val="12"/>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jc w:val="both"/>
    </w:pPr>
    <w:rPr>
      <w:rFonts w:ascii="Calibri" w:hAnsi="Calibri" w:eastAsia="Noto Serif CJK SC" w:cs="Lohit Devanagari"/>
      <w:color w:val="auto"/>
      <w:kern w:val="2"/>
      <w:sz w:val="22"/>
      <w:szCs w:val="24"/>
      <w:lang w:val="fr-FR" w:eastAsia="zh-CN" w:bidi="hi-IN"/>
    </w:rPr>
  </w:style>
  <w:style w:type="paragraph" w:styleId="Heading1">
    <w:name w:val="Heading 1"/>
    <w:basedOn w:val="Heading"/>
    <w:next w:val="Normal"/>
    <w:qFormat/>
    <w:pPr>
      <w:numPr>
        <w:ilvl w:val="0"/>
        <w:numId w:val="1"/>
      </w:numPr>
      <w:spacing w:before="240" w:after="120"/>
      <w:outlineLvl w:val="0"/>
    </w:pPr>
    <w:rPr>
      <w:b/>
      <w:bCs/>
      <w:sz w:val="36"/>
      <w:szCs w:val="36"/>
    </w:rPr>
  </w:style>
  <w:style w:type="paragraph" w:styleId="Heading2">
    <w:name w:val="Heading 2"/>
    <w:basedOn w:val="Normal"/>
    <w:next w:val="Normal"/>
    <w:qFormat/>
    <w:pPr>
      <w:keepNext w:val="true"/>
      <w:numPr>
        <w:ilvl w:val="1"/>
        <w:numId w:val="1"/>
      </w:numPr>
      <w:spacing w:before="0" w:after="0"/>
      <w:ind w:left="-1106" w:right="1586" w:hanging="28"/>
      <w:jc w:val="both"/>
      <w:outlineLvl w:val="1"/>
    </w:pPr>
    <w:rPr>
      <w:rFonts w:eastAsia="Arial Unicode MS" w:cs="Arial Unicode MS"/>
      <w:sz w:val="28"/>
      <w:szCs w:val="20"/>
    </w:rPr>
  </w:style>
  <w:style w:type="paragraph" w:styleId="Heading3">
    <w:name w:val="Heading 3"/>
    <w:basedOn w:val="Heading"/>
    <w:next w:val="Normal"/>
    <w:qFormat/>
    <w:pPr>
      <w:numPr>
        <w:ilvl w:val="2"/>
        <w:numId w:val="1"/>
      </w:numPr>
      <w:spacing w:before="140" w:after="120"/>
      <w:outlineLvl w:val="2"/>
    </w:pPr>
    <w:rPr>
      <w:b/>
      <w:bCs/>
      <w:color w:val="808080"/>
      <w:sz w:val="28"/>
      <w:szCs w:val="28"/>
    </w:rPr>
  </w:style>
  <w:style w:type="paragraph" w:styleId="Heading4">
    <w:name w:val="Heading 4"/>
    <w:basedOn w:val="Normal"/>
    <w:next w:val="Normal"/>
    <w:qFormat/>
    <w:pPr>
      <w:keepNext w:val="true"/>
      <w:numPr>
        <w:ilvl w:val="3"/>
        <w:numId w:val="1"/>
      </w:numPr>
      <w:spacing w:before="240" w:after="240"/>
      <w:ind w:left="1264" w:right="0" w:hanging="0"/>
      <w:jc w:val="center"/>
      <w:outlineLvl w:val="3"/>
    </w:pPr>
    <w:rPr>
      <w:b/>
      <w:bCs/>
      <w:sz w:val="28"/>
    </w:rPr>
  </w:style>
  <w:style w:type="paragraph" w:styleId="Heading5">
    <w:name w:val="Heading 5"/>
    <w:basedOn w:val="Normal"/>
    <w:next w:val="Normal"/>
    <w:qFormat/>
    <w:pPr>
      <w:keepNext w:val="true"/>
      <w:numPr>
        <w:ilvl w:val="4"/>
        <w:numId w:val="1"/>
      </w:numPr>
      <w:spacing w:before="240" w:after="240"/>
      <w:ind w:left="1264" w:right="0" w:hanging="0"/>
      <w:outlineLvl w:val="4"/>
    </w:pPr>
    <w:rPr>
      <w:b/>
      <w:bCs/>
      <w:sz w:val="28"/>
      <w:u w:val="single"/>
    </w:rPr>
  </w:style>
  <w:style w:type="paragraph" w:styleId="Heading6">
    <w:name w:val="Heading 6"/>
    <w:basedOn w:val="Heading"/>
    <w:next w:val="Normal"/>
    <w:qFormat/>
    <w:pPr>
      <w:numPr>
        <w:ilvl w:val="5"/>
        <w:numId w:val="1"/>
      </w:numPr>
      <w:spacing w:before="60" w:after="60"/>
      <w:outlineLvl w:val="5"/>
    </w:pPr>
    <w:rPr>
      <w:b/>
      <w:bCs/>
      <w:i/>
      <w:iCs/>
      <w:sz w:val="24"/>
      <w:szCs w:val="24"/>
    </w:rPr>
  </w:style>
  <w:style w:type="paragraph" w:styleId="Heading9">
    <w:name w:val="Heading 9"/>
    <w:basedOn w:val="Normal"/>
    <w:next w:val="Normal"/>
    <w:qFormat/>
    <w:pPr>
      <w:keepNext w:val="true"/>
      <w:numPr>
        <w:ilvl w:val="8"/>
        <w:numId w:val="1"/>
      </w:numPr>
      <w:pBdr>
        <w:top w:val="single" w:sz="4" w:space="0" w:color="000000"/>
        <w:left w:val="single" w:sz="4" w:space="0" w:color="000000"/>
        <w:bottom w:val="single" w:sz="4" w:space="0" w:color="000000"/>
        <w:right w:val="single" w:sz="4" w:space="0" w:color="000000"/>
      </w:pBdr>
      <w:spacing w:before="0" w:after="0"/>
      <w:ind w:left="2835" w:right="707" w:hanging="0"/>
      <w:jc w:val="center"/>
      <w:outlineLvl w:val="8"/>
    </w:pPr>
    <w:rPr>
      <w:szCs w:val="20"/>
      <w:lang w:val="fr-FR"/>
    </w:rPr>
  </w:style>
  <w:style w:type="character" w:styleId="PODNumberingSymbols">
    <w:name w:val="POD Numbering Symbols"/>
    <w:qFormat/>
    <w:rPr/>
  </w:style>
  <w:style w:type="character" w:styleId="PODBulletSymbols">
    <w:name w:val="POD Bullet Symbols"/>
    <w:qFormat/>
    <w:rPr/>
  </w:style>
  <w:style w:type="character" w:styleId="WW8Num7z1">
    <w:name w:val="WW8Num7z1"/>
    <w:qFormat/>
    <w:rPr>
      <w:rFonts w:ascii="Tahoma" w:hAnsi="Tahoma" w:eastAsia="Times New Roman" w:cs="Tahoma"/>
    </w:rPr>
  </w:style>
  <w:style w:type="character" w:styleId="WW8Num10z0">
    <w:name w:val="WW8Num10z0"/>
    <w:qFormat/>
    <w:rPr>
      <w:rFonts w:ascii="Tahoma" w:hAnsi="Tahoma" w:eastAsia="Times New Roman" w:cs="Tahoma"/>
    </w:rPr>
  </w:style>
  <w:style w:type="character" w:styleId="WW8Num10z1">
    <w:name w:val="WW8Num10z1"/>
    <w:qFormat/>
    <w:rPr>
      <w:rFonts w:ascii="Courier New" w:hAnsi="Courier New" w:cs="Courier New"/>
    </w:rPr>
  </w:style>
  <w:style w:type="character" w:styleId="WW8Num10z2">
    <w:name w:val="WW8Num10z2"/>
    <w:qFormat/>
    <w:rPr>
      <w:rFonts w:ascii="Wingdings" w:hAnsi="Wingdings"/>
    </w:rPr>
  </w:style>
  <w:style w:type="character" w:styleId="WW8Num10z3">
    <w:name w:val="WW8Num10z3"/>
    <w:qFormat/>
    <w:rPr>
      <w:rFonts w:ascii="Symbol" w:hAnsi="Symbol"/>
    </w:rPr>
  </w:style>
  <w:style w:type="character" w:styleId="Policepardfaut">
    <w:name w:val="Police par défaut"/>
    <w:qFormat/>
    <w:rPr/>
  </w:style>
  <w:style w:type="character" w:styleId="PageNumber">
    <w:name w:val="Page Number"/>
    <w:basedOn w:val="Policepardfaut"/>
    <w:rPr/>
  </w:style>
  <w:style w:type="character" w:styleId="KGo1pod">
    <w:name w:val="kGo1pod"/>
    <w:qFormat/>
    <w:rPr>
      <w:b/>
    </w:rPr>
  </w:style>
  <w:style w:type="character" w:styleId="KGo3pod">
    <w:name w:val="kGo3pod"/>
    <w:qFormat/>
    <w:rPr>
      <w:u w:val="single"/>
    </w:rPr>
  </w:style>
  <w:style w:type="character" w:styleId="KGo4pod">
    <w:name w:val="kGo4pod"/>
    <w:qFormat/>
    <w:rPr>
      <w:vertAlign w:val="superscript"/>
    </w:rPr>
  </w:style>
  <w:style w:type="character" w:styleId="KGo5pod">
    <w:name w:val="kGo5pod"/>
    <w:qFormat/>
    <w:rPr>
      <w:i/>
    </w:rPr>
  </w:style>
  <w:style w:type="character" w:styleId="KGo6pod">
    <w:name w:val="kGo6pod"/>
    <w:qFormat/>
    <w:rPr>
      <w:b/>
      <w:u w:val="single"/>
    </w:rPr>
  </w:style>
  <w:style w:type="paragraph" w:styleId="ParaKWN">
    <w:name w:val="ParaKWN"/>
    <w:basedOn w:val="Normal"/>
    <w:qFormat/>
    <w:pPr>
      <w:keepNext w:val="true"/>
    </w:pP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PodPageBreakBefore">
    <w:name w:val="podPageBreakBefore"/>
    <w:qFormat/>
    <w:pPr>
      <w:pageBreakBefore/>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PageBreakBeforeDuplex">
    <w:name w:val="podPageBreakBeforeDuplex"/>
    <w:basedOn w:val="PodPageBreakBefore"/>
    <w:qFormat/>
    <w:pPr>
      <w:pageBreakBefore/>
    </w:pPr>
    <w:rPr/>
  </w:style>
  <w:style w:type="paragraph" w:styleId="PodPageBreakAfter">
    <w:name w:val="podPageBreakAfter"/>
    <w:qFormat/>
    <w:pPr>
      <w:widowControl/>
      <w:kinsoku w:val="true"/>
      <w:overflowPunct w:val="true"/>
      <w:autoSpaceDE w:val="true"/>
      <w:bidi w:val="0"/>
      <w:spacing w:before="0" w:after="0"/>
      <w:ind w:left="0" w:right="0" w:hanging="0"/>
    </w:pPr>
    <w:rPr>
      <w:rFonts w:ascii="Liberation Serif" w:hAnsi="Liberation Serif" w:eastAsia="Noto Serif CJK SC" w:cs="Lohit Devanagari"/>
      <w:color w:val="auto"/>
      <w:kern w:val="2"/>
      <w:sz w:val="4"/>
      <w:szCs w:val="24"/>
      <w:lang w:val="fr-FR" w:eastAsia="zh-CN" w:bidi="hi-IN"/>
    </w:rPr>
  </w:style>
  <w:style w:type="paragraph" w:styleId="PodColumnBreak">
    <w:name w:val="podColumnBreak"/>
    <w:qFormat/>
    <w:pPr>
      <w:widowControl/>
      <w:kinsoku w:val="true"/>
      <w:overflowPunct w:val="true"/>
      <w:autoSpaceDE w:val="true"/>
      <w:bidi w:val="0"/>
    </w:pPr>
    <w:rPr>
      <w:rFonts w:ascii="Liberation Serif" w:hAnsi="Liberation Serif" w:eastAsia="Noto Serif CJK SC" w:cs="Lohit Devanagari"/>
      <w:color w:val="auto"/>
      <w:kern w:val="2"/>
      <w:sz w:val="24"/>
      <w:szCs w:val="24"/>
      <w:lang w:val="fr-FR" w:eastAsia="zh-CN" w:bidi="hi-IN"/>
    </w:rPr>
  </w:style>
  <w:style w:type="paragraph" w:styleId="PodBulletItem">
    <w:name w:val="podBulletItem"/>
    <w:basedOn w:val="Normal"/>
    <w:qFormat/>
    <w:pPr>
      <w:numPr>
        <w:ilvl w:val="0"/>
        <w:numId w:val="3"/>
      </w:numPr>
    </w:pPr>
    <w:rPr/>
  </w:style>
  <w:style w:type="paragraph" w:styleId="PodNumberItem">
    <w:name w:val="podNumberItem"/>
    <w:basedOn w:val="Normal"/>
    <w:qFormat/>
    <w:pPr>
      <w:numPr>
        <w:ilvl w:val="0"/>
        <w:numId w:val="2"/>
      </w:numPr>
    </w:pPr>
    <w:rPr/>
  </w:style>
  <w:style w:type="paragraph" w:styleId="PodBulletItemKeepWithNext">
    <w:name w:val="podBulletItemKeepWithNext"/>
    <w:basedOn w:val="Normal"/>
    <w:qFormat/>
    <w:pPr>
      <w:keepNext w:val="true"/>
      <w:numPr>
        <w:ilvl w:val="0"/>
        <w:numId w:val="3"/>
      </w:numPr>
    </w:pPr>
    <w:rPr/>
  </w:style>
  <w:style w:type="paragraph" w:styleId="PodNumberItemKeepWithNext">
    <w:name w:val="podNumberItemKeepWithNext"/>
    <w:basedOn w:val="Normal"/>
    <w:qFormat/>
    <w:pPr>
      <w:keepNext w:val="true"/>
      <w:numPr>
        <w:ilvl w:val="0"/>
        <w:numId w:val="2"/>
      </w:numPr>
    </w:pPr>
    <w:rPr/>
  </w:style>
  <w:style w:type="paragraph" w:styleId="Tablecell">
    <w:name w:val="Table cell"/>
    <w:basedOn w:val="Normal"/>
    <w:qFormat/>
    <w:pPr>
      <w:suppressLineNumbers/>
      <w:spacing w:before="0" w:after="0"/>
    </w:pPr>
    <w:rPr/>
  </w:style>
  <w:style w:type="paragraph" w:styleId="Tableheading">
    <w:name w:val="Table heading"/>
    <w:basedOn w:val="Tablecell"/>
    <w:qFormat/>
    <w:pPr/>
    <w:rPr>
      <w:b/>
      <w:bCs/>
    </w:rPr>
  </w:style>
  <w:style w:type="paragraph" w:styleId="PodTablePara">
    <w:name w:val="podTablePara"/>
    <w:basedOn w:val="Tablecell"/>
    <w:qFormat/>
    <w:pPr/>
    <w:rPr>
      <w:b w:val="false"/>
      <w:bCs w:val="false"/>
      <w:sz w:val="16"/>
    </w:rPr>
  </w:style>
  <w:style w:type="paragraph" w:styleId="PodTableParaBold">
    <w:name w:val="podTableParaBold"/>
    <w:basedOn w:val="Tablecell"/>
    <w:qFormat/>
    <w:pPr/>
    <w:rPr>
      <w:b/>
      <w:bCs/>
      <w:sz w:val="16"/>
    </w:rPr>
  </w:style>
  <w:style w:type="paragraph" w:styleId="PodTableParaRight">
    <w:name w:val="podTableParaRight"/>
    <w:basedOn w:val="Tablecell"/>
    <w:qFormat/>
    <w:pPr>
      <w:jc w:val="right"/>
    </w:pPr>
    <w:rPr>
      <w:b w:val="false"/>
      <w:bCs w:val="false"/>
      <w:sz w:val="16"/>
    </w:rPr>
  </w:style>
  <w:style w:type="paragraph" w:styleId="PodTableParaBoldRight">
    <w:name w:val="podTableParaBoldRight"/>
    <w:basedOn w:val="Tablecell"/>
    <w:qFormat/>
    <w:pPr>
      <w:jc w:val="right"/>
    </w:pPr>
    <w:rPr>
      <w:b/>
      <w:bCs/>
      <w:sz w:val="16"/>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centr">
    <w:name w:val="Normal centré"/>
    <w:basedOn w:val="Normal"/>
    <w:qFormat/>
    <w:pPr>
      <w:pBdr>
        <w:top w:val="single" w:sz="4" w:space="1" w:color="000000"/>
        <w:left w:val="single" w:sz="4" w:space="4" w:color="000000"/>
        <w:bottom w:val="single" w:sz="4" w:space="1" w:color="000000"/>
        <w:right w:val="single" w:sz="4" w:space="4" w:color="000000"/>
      </w:pBdr>
      <w:tabs>
        <w:tab w:val="clear" w:pos="709"/>
        <w:tab w:val="left" w:pos="4962" w:leader="none"/>
      </w:tabs>
      <w:spacing w:before="0" w:after="0"/>
      <w:ind w:left="2552" w:right="1586" w:hanging="0"/>
      <w:jc w:val="center"/>
    </w:pPr>
    <w:rPr>
      <w:rFonts w:ascii="Tahoma" w:hAnsi="Tahoma"/>
      <w:b/>
      <w:bCs/>
      <w:sz w:val="28"/>
      <w:lang w:val="fr-FR"/>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Footer">
    <w:name w:val="Footer"/>
    <w:basedOn w:val="Normal"/>
    <w:pPr>
      <w:tabs>
        <w:tab w:val="clear" w:pos="709"/>
        <w:tab w:val="center" w:pos="4320" w:leader="none"/>
        <w:tab w:val="right" w:pos="8640" w:leader="none"/>
      </w:tabs>
    </w:pPr>
    <w:rPr>
      <w:rFonts w:ascii="Times" w:hAnsi="Times"/>
      <w:smallCaps/>
      <w:szCs w:val="20"/>
      <w:lang w:val="fr-FR"/>
    </w:rPr>
  </w:style>
  <w:style w:type="paragraph" w:styleId="Textedebulles">
    <w:name w:val="Texte de bulles"/>
    <w:basedOn w:val="Normal"/>
    <w:qFormat/>
    <w:pPr/>
    <w:rPr>
      <w:rFonts w:ascii="Tahoma" w:hAnsi="Tahoma" w:cs="Tahoma"/>
      <w:sz w:val="16"/>
      <w:szCs w:val="16"/>
    </w:rPr>
  </w:style>
  <w:style w:type="paragraph" w:styleId="FrameContents">
    <w:name w:val="Frame Contents"/>
    <w:basedOn w:val="TextBody"/>
    <w:qFormat/>
    <w:pPr/>
    <w:rPr/>
  </w:style>
  <w:style w:type="paragraph" w:styleId="Header">
    <w:name w:val="Header"/>
    <w:basedOn w:val="Normal"/>
    <w:pPr>
      <w:suppressLineNumbers/>
      <w:tabs>
        <w:tab w:val="clear" w:pos="709"/>
        <w:tab w:val="center" w:pos="4818" w:leader="none"/>
        <w:tab w:val="right" w:pos="9637" w:leader="none"/>
      </w:tabs>
    </w:pPr>
    <w:rPr/>
  </w:style>
  <w:style w:type="paragraph" w:styleId="Ttirebordureshautbas">
    <w:name w:val="Ttire_bordures_haut_bas"/>
    <w:basedOn w:val="Heading"/>
    <w:qFormat/>
    <w:pPr>
      <w:pBdr>
        <w:top w:val="single" w:sz="2" w:space="1" w:color="000000"/>
        <w:bottom w:val="single" w:sz="2" w:space="1" w:color="000000"/>
      </w:pBdr>
      <w:jc w:val="left"/>
    </w:pPr>
    <w:rPr>
      <w:color w:val="000000"/>
    </w:rPr>
  </w:style>
  <w:style w:type="paragraph" w:styleId="TableContents">
    <w:name w:val="Table Contents"/>
    <w:basedOn w:val="Normal"/>
    <w:qFormat/>
    <w:pPr>
      <w:suppressLineNumbers/>
    </w:pPr>
    <w:rPr/>
  </w:style>
  <w:style w:type="paragraph" w:styleId="TableHeading1">
    <w:name w:val="Table Heading"/>
    <w:basedOn w:val="TableContents"/>
    <w:qFormat/>
    <w:pPr>
      <w:suppressLineNumbers/>
      <w:jc w:val="center"/>
    </w:pPr>
    <w:rPr>
      <w:b/>
      <w:bCs/>
      <w:i/>
      <w:iCs/>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Standard2">
    <w:name w:val="Standard2"/>
    <w:qFormat/>
    <w:pPr>
      <w:widowControl/>
      <w:kinsoku w:val="true"/>
      <w:overflowPunct w:val="true"/>
      <w:autoSpaceDE w:val="true"/>
      <w:bidi w:val="0"/>
    </w:pPr>
    <w:rPr>
      <w:rFonts w:ascii="Tahoma" w:hAnsi="Tahoma" w:eastAsia="Noto Serif CJK SC" w:cs="Lohit Devanagari"/>
      <w:color w:val="auto"/>
      <w:kern w:val="2"/>
      <w:sz w:val="20"/>
      <w:szCs w:val="24"/>
      <w:lang w:val="fr-FR" w:eastAsia="zh-CN" w:bidi="hi-IN"/>
    </w:rPr>
  </w:style>
  <w:style w:type="paragraph" w:styleId="PmParaKeepWithNext">
    <w:name w:val="pmParaKeepWithNext"/>
    <w:basedOn w:val="Normal"/>
    <w:qFormat/>
    <w:pPr>
      <w:keepNext w:val="true"/>
    </w:pPr>
    <w:rPr/>
  </w:style>
  <w:style w:type="paragraph" w:styleId="XSmallText">
    <w:name w:val="xSmallText"/>
    <w:basedOn w:val="Normal"/>
    <w:qFormat/>
    <w:pPr/>
    <w:rPr>
      <w:rFonts w:ascii="Liberation Sans" w:hAnsi="Liberation Sans"/>
      <w:sz w:val="14"/>
    </w:rPr>
  </w:style>
  <w:style w:type="paragraph" w:styleId="SmallText">
    <w:name w:val="smallText"/>
    <w:basedOn w:val="Normal"/>
    <w:qFormat/>
    <w:pPr/>
    <w:rPr>
      <w:sz w:val="18"/>
    </w:rPr>
  </w:style>
  <w:style w:type="paragraph" w:styleId="LargeText">
    <w:name w:val="largeText"/>
    <w:basedOn w:val="SmallText"/>
    <w:qFormat/>
    <w:pPr/>
    <w:rPr>
      <w:sz w:val="32"/>
    </w:rPr>
  </w:style>
  <w:style w:type="paragraph" w:styleId="XLargeText">
    <w:name w:val="xLargeText"/>
    <w:basedOn w:val="LargeText"/>
    <w:qFormat/>
    <w:pPr/>
    <w:rPr>
      <w:rFonts w:ascii="Times New Roman" w:hAnsi="Times New Roman"/>
      <w:sz w:val="36"/>
    </w:rPr>
  </w:style>
  <w:style w:type="paragraph" w:styleId="Textedelibe">
    <w:name w:val="texte_delibe"/>
    <w:basedOn w:val="Normal"/>
    <w:qFormat/>
    <w:pPr>
      <w:spacing w:lineRule="auto" w:line="240" w:before="0" w:after="170"/>
    </w:pPr>
    <w:rPr>
      <w:rFonts w:ascii="Liberation Sans" w:hAnsi="Liberation Sans"/>
      <w:sz w:val="22"/>
    </w:rPr>
  </w:style>
  <w:style w:type="paragraph" w:styleId="Comment">
    <w:name w:val="Comment"/>
    <w:basedOn w:val="Normal"/>
    <w:qFormat/>
    <w:pPr/>
    <w:rPr>
      <w:sz w:val="20"/>
      <w:szCs w:val="20"/>
    </w:rPr>
  </w:style>
  <w:style w:type="paragraph" w:styleId="MltAssembly">
    <w:name w:val="mltAssembly"/>
    <w:basedOn w:val="Normal"/>
    <w:qFormat/>
    <w:pPr>
      <w:jc w:val="left"/>
    </w:pPr>
    <w:rPr/>
  </w:style>
  <w:style w:type="paragraph" w:styleId="KGo8pod">
    <w:name w:val="kGo8pod"/>
    <w:basedOn w:val="Normal"/>
    <w:qFormat/>
    <w:pPr>
      <w:jc w:val="both"/>
    </w:pPr>
    <w:rPr/>
  </w:style>
  <w:style w:type="paragraph" w:styleId="KGo9pod">
    <w:name w:val="kGo9pod"/>
    <w:basedOn w:val="Normal"/>
    <w:qFormat/>
    <w:pPr>
      <w:ind w:firstLine="468"/>
      <w:jc w:val="both"/>
    </w:pPr>
    <w:rPr/>
  </w:style>
  <w:style w:type="paragraph" w:styleId="KGo10pod">
    <w:name w:val="kGo10pod"/>
    <w:basedOn w:val="PodNumberItem"/>
    <w:qFormat/>
    <w:pPr>
      <w:jc w:val="both"/>
    </w:pPr>
    <w:rPr/>
  </w:style>
  <w:style w:type="paragraph" w:styleId="KGo11pod">
    <w:name w:val="kGo11pod"/>
    <w:basedOn w:val="PodBulletItem"/>
    <w:qFormat/>
    <w:pPr>
      <w:jc w:val="both"/>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PodNumberedList">
    <w:name w:val="podNumberedList"/>
    <w:qFormat/>
  </w:style>
  <w:style w:type="numbering" w:styleId="PodBulletedList">
    <w:name w:val="podBulleted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TotalTime>
  <Application>LibreOffice/7.3.7.2$Linux_X86_64 LibreOffice_project/30$Build-2</Application>
  <AppVersion>15.0000</AppVersion>
  <Pages>2</Pages>
  <Words>138</Words>
  <Characters>1339</Characters>
  <CharactersWithSpaces>1403</CharactersWithSpaces>
  <Paragraphs>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2025-03-12T09:47:43Z</dcterms:created>
  <dc:creator/>
  <dc:description/>
  <dc:language>en-US</dc:language>
  <cp:lastModifiedBy>Antoine Duchêne</cp:lastModifiedBy>
  <dcterms:modified xsi:type="dcterms:W3CDTF">2025-12-22T15:12:59Z</dcterms:modified>
  <cp:revision>47</cp:revision>
  <dc:subject/>
  <dc:title>tmpugYSdZ</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uthorEmail">
    <vt:lpwstr/>
  </property>
  <property fmtid="{D5CDD505-2E9C-101B-9397-08002B2CF9AE}" pid="3" name="_AuthorEmailDisplayName">
    <vt:lpwstr/>
  </property>
  <property fmtid="{D5CDD505-2E9C-101B-9397-08002B2CF9AE}" pid="4" name="_EmailSubject">
    <vt:lpwstr/>
  </property>
</Properties>
</file>